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9A" w:rsidRPr="00C46B10" w:rsidRDefault="00B73C9A" w:rsidP="00F608AE">
      <w:pPr>
        <w:jc w:val="both"/>
        <w:rPr>
          <w:rFonts w:ascii="Arial" w:hAnsi="Arial" w:cs="Arial"/>
          <w:b/>
          <w:sz w:val="20"/>
          <w:u w:val="single"/>
        </w:rPr>
      </w:pPr>
      <w:r w:rsidRPr="00C46B10">
        <w:rPr>
          <w:rFonts w:ascii="Arial" w:hAnsi="Arial" w:cs="Arial"/>
          <w:b/>
          <w:sz w:val="20"/>
          <w:u w:val="single"/>
        </w:rPr>
        <w:t>Оригинална статија</w:t>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p>
    <w:p w:rsidR="00356F58" w:rsidRPr="003A04C0" w:rsidRDefault="00B73C9A" w:rsidP="00F608AE">
      <w:pPr>
        <w:jc w:val="both"/>
        <w:rPr>
          <w:rFonts w:ascii="Arial" w:hAnsi="Arial" w:cs="Arial"/>
          <w:b/>
          <w:sz w:val="20"/>
          <w:u w:val="single"/>
        </w:rPr>
      </w:pPr>
      <w:r w:rsidRPr="00C46B10">
        <w:rPr>
          <w:rFonts w:ascii="Arial" w:hAnsi="Arial" w:cs="Arial"/>
          <w:b/>
          <w:sz w:val="20"/>
        </w:rPr>
        <w:t xml:space="preserve">Препораки од 2013 година на Медицинскиот советодавен одбор на Здружението за хередитарен ангиоедем на САД за Управување со хередитарниот ангиоедем што е </w:t>
      </w:r>
      <w:r w:rsidRPr="003A04C0">
        <w:rPr>
          <w:rFonts w:ascii="Arial" w:hAnsi="Arial" w:cs="Arial"/>
          <w:b/>
          <w:sz w:val="20"/>
        </w:rPr>
        <w:t xml:space="preserve">резултат </w:t>
      </w:r>
      <w:r w:rsidRPr="00C46B10">
        <w:rPr>
          <w:rFonts w:ascii="Arial" w:hAnsi="Arial" w:cs="Arial"/>
          <w:b/>
          <w:sz w:val="20"/>
          <w:u w:val="single"/>
        </w:rPr>
        <w:t>на недостаток на C1 инхибитор</w:t>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Pr="00C46B10">
        <w:rPr>
          <w:rFonts w:ascii="Arial" w:hAnsi="Arial" w:cs="Arial"/>
          <w:b/>
          <w:sz w:val="20"/>
          <w:u w:val="single"/>
        </w:rPr>
        <w:tab/>
      </w:r>
      <w:r w:rsidR="003A04C0">
        <w:rPr>
          <w:rFonts w:ascii="Arial" w:hAnsi="Arial" w:cs="Arial"/>
          <w:b/>
          <w:sz w:val="20"/>
          <w:u w:val="single"/>
        </w:rPr>
        <w:tab/>
      </w:r>
      <w:r w:rsidR="003A04C0">
        <w:rPr>
          <w:rFonts w:ascii="Arial" w:hAnsi="Arial" w:cs="Arial"/>
          <w:b/>
          <w:sz w:val="20"/>
          <w:u w:val="single"/>
        </w:rPr>
        <w:tab/>
      </w:r>
    </w:p>
    <w:p w:rsidR="00B73C9A" w:rsidRPr="003A04C0" w:rsidRDefault="003A04C0" w:rsidP="00F608AE">
      <w:pPr>
        <w:jc w:val="both"/>
        <w:rPr>
          <w:rFonts w:ascii="Arial" w:hAnsi="Arial" w:cs="Arial"/>
          <w:sz w:val="20"/>
        </w:rPr>
      </w:pPr>
      <w:r w:rsidRPr="00593450">
        <w:rPr>
          <w:rFonts w:ascii="Arial" w:hAnsi="Arial" w:cs="Arial"/>
          <w:b/>
          <w:sz w:val="20"/>
        </w:rPr>
        <w:t xml:space="preserve">Д-р </w:t>
      </w:r>
      <w:r w:rsidR="004240FB" w:rsidRPr="00593450">
        <w:rPr>
          <w:rFonts w:ascii="Arial" w:hAnsi="Arial" w:cs="Arial"/>
          <w:b/>
          <w:sz w:val="20"/>
        </w:rPr>
        <w:t>Брус Л. Зуров</w:t>
      </w:r>
      <w:r w:rsidRPr="00593450">
        <w:rPr>
          <w:rFonts w:ascii="Arial" w:hAnsi="Arial" w:cs="Arial"/>
          <w:b/>
          <w:sz w:val="20"/>
          <w:vertAlign w:val="superscript"/>
        </w:rPr>
        <w:t>a-b</w:t>
      </w:r>
      <w:r w:rsidR="004240FB" w:rsidRPr="00593450">
        <w:rPr>
          <w:rFonts w:ascii="Arial" w:hAnsi="Arial" w:cs="Arial"/>
          <w:b/>
          <w:sz w:val="20"/>
        </w:rPr>
        <w:t>,</w:t>
      </w:r>
      <w:r w:rsidRPr="00593450">
        <w:rPr>
          <w:rFonts w:ascii="Arial" w:hAnsi="Arial" w:cs="Arial"/>
          <w:b/>
          <w:sz w:val="20"/>
        </w:rPr>
        <w:t xml:space="preserve"> Д-р Алина Банерџи,</w:t>
      </w:r>
      <w:r w:rsidRPr="00593450">
        <w:rPr>
          <w:rFonts w:ascii="Arial" w:hAnsi="Arial" w:cs="Arial"/>
          <w:b/>
          <w:sz w:val="20"/>
          <w:vertAlign w:val="superscript"/>
        </w:rPr>
        <w:t>c</w:t>
      </w:r>
      <w:r w:rsidRPr="00593450">
        <w:rPr>
          <w:rFonts w:ascii="Arial" w:hAnsi="Arial" w:cs="Arial"/>
          <w:b/>
          <w:sz w:val="20"/>
        </w:rPr>
        <w:t xml:space="preserve"> Д-р Џонатан А. Бернштајн</w:t>
      </w:r>
      <w:r w:rsidRPr="00593450">
        <w:rPr>
          <w:rFonts w:ascii="Arial" w:hAnsi="Arial" w:cs="Arial"/>
          <w:b/>
          <w:sz w:val="20"/>
          <w:vertAlign w:val="superscript"/>
        </w:rPr>
        <w:t>d</w:t>
      </w:r>
      <w:r w:rsidRPr="00593450">
        <w:rPr>
          <w:rFonts w:ascii="Arial" w:hAnsi="Arial" w:cs="Arial"/>
          <w:b/>
          <w:sz w:val="20"/>
        </w:rPr>
        <w:t>, Д-р Пола</w:t>
      </w:r>
      <w:r w:rsidR="004240FB" w:rsidRPr="00593450">
        <w:rPr>
          <w:rFonts w:ascii="Arial" w:hAnsi="Arial" w:cs="Arial"/>
          <w:b/>
          <w:sz w:val="20"/>
        </w:rPr>
        <w:t xml:space="preserve"> </w:t>
      </w:r>
      <w:r w:rsidRPr="00593450">
        <w:rPr>
          <w:rFonts w:ascii="Arial" w:hAnsi="Arial" w:cs="Arial"/>
          <w:b/>
          <w:sz w:val="20"/>
        </w:rPr>
        <w:t>Џ. Бас, Д-р Сандра К. Кристијансен</w:t>
      </w:r>
      <w:proofErr w:type="spellStart"/>
      <w:r w:rsidRPr="00593450">
        <w:rPr>
          <w:rFonts w:ascii="Arial" w:hAnsi="Arial" w:cs="Arial"/>
          <w:b/>
          <w:sz w:val="20"/>
          <w:vertAlign w:val="superscript"/>
        </w:rPr>
        <w:t>a,f</w:t>
      </w:r>
      <w:proofErr w:type="spellEnd"/>
      <w:r w:rsidRPr="00593450">
        <w:rPr>
          <w:rFonts w:ascii="Arial" w:hAnsi="Arial" w:cs="Arial"/>
          <w:b/>
          <w:sz w:val="20"/>
        </w:rPr>
        <w:t xml:space="preserve"> Д-р Марк Дејвис-Лортон</w:t>
      </w:r>
      <w:r w:rsidRPr="00593450">
        <w:rPr>
          <w:rFonts w:ascii="Arial" w:hAnsi="Arial" w:cs="Arial"/>
          <w:b/>
          <w:sz w:val="20"/>
          <w:vertAlign w:val="superscript"/>
        </w:rPr>
        <w:t>g</w:t>
      </w:r>
      <w:r w:rsidRPr="00593450">
        <w:rPr>
          <w:rFonts w:ascii="Arial" w:hAnsi="Arial" w:cs="Arial"/>
          <w:b/>
          <w:sz w:val="20"/>
        </w:rPr>
        <w:t>, Д-р Мајкл М. Франк</w:t>
      </w:r>
      <w:r w:rsidRPr="00593450">
        <w:rPr>
          <w:rFonts w:ascii="Arial" w:hAnsi="Arial" w:cs="Arial"/>
          <w:b/>
          <w:sz w:val="20"/>
          <w:vertAlign w:val="superscript"/>
        </w:rPr>
        <w:t>h</w:t>
      </w:r>
      <w:r w:rsidRPr="00593450">
        <w:rPr>
          <w:rFonts w:ascii="Arial" w:hAnsi="Arial" w:cs="Arial"/>
          <w:b/>
          <w:sz w:val="20"/>
        </w:rPr>
        <w:t>, Д-р Хенри Х. Ли,</w:t>
      </w:r>
      <w:proofErr w:type="spellStart"/>
      <w:r w:rsidRPr="00593450">
        <w:rPr>
          <w:rFonts w:ascii="Arial" w:hAnsi="Arial" w:cs="Arial"/>
          <w:b/>
          <w:sz w:val="20"/>
          <w:vertAlign w:val="superscript"/>
        </w:rPr>
        <w:t>i</w:t>
      </w:r>
      <w:proofErr w:type="spellEnd"/>
      <w:r w:rsidRPr="00593450">
        <w:rPr>
          <w:rFonts w:ascii="Arial" w:hAnsi="Arial" w:cs="Arial"/>
          <w:b/>
          <w:sz w:val="20"/>
        </w:rPr>
        <w:t xml:space="preserve"> Д-р Вилијам Р Ламри,</w:t>
      </w:r>
      <w:r w:rsidRPr="00593450">
        <w:rPr>
          <w:rFonts w:ascii="Arial" w:hAnsi="Arial" w:cs="Arial"/>
          <w:b/>
          <w:sz w:val="20"/>
          <w:vertAlign w:val="superscript"/>
        </w:rPr>
        <w:t>j</w:t>
      </w:r>
      <w:r w:rsidRPr="00593450">
        <w:rPr>
          <w:rFonts w:ascii="Arial" w:hAnsi="Arial" w:cs="Arial"/>
          <w:b/>
          <w:sz w:val="20"/>
        </w:rPr>
        <w:t xml:space="preserve"> и Д-р Марк Ридл</w:t>
      </w:r>
      <w:r w:rsidRPr="00593450">
        <w:rPr>
          <w:rFonts w:ascii="Arial" w:hAnsi="Arial" w:cs="Arial"/>
          <w:b/>
          <w:sz w:val="20"/>
          <w:vertAlign w:val="superscript"/>
        </w:rPr>
        <w:t>k</w:t>
      </w:r>
      <w:r>
        <w:rPr>
          <w:rFonts w:ascii="Arial" w:hAnsi="Arial" w:cs="Arial"/>
          <w:sz w:val="20"/>
        </w:rPr>
        <w:t xml:space="preserve"> </w:t>
      </w:r>
      <w:r>
        <w:rPr>
          <w:rFonts w:ascii="Arial" w:hAnsi="Arial" w:cs="Arial"/>
          <w:i/>
          <w:sz w:val="20"/>
        </w:rPr>
        <w:t xml:space="preserve">La Jolla Сан Диего и Лос Анџелес, Калифорнија; Бостон, Масачусетс, Синсинати, Охајо; Њујорк и Минеола, Њујорк; Дурхам, </w:t>
      </w:r>
      <w:r w:rsidR="00593450">
        <w:rPr>
          <w:rFonts w:ascii="Arial" w:hAnsi="Arial" w:cs="Arial"/>
          <w:i/>
          <w:sz w:val="20"/>
        </w:rPr>
        <w:t>Северна Каролина</w:t>
      </w:r>
      <w:r>
        <w:rPr>
          <w:rFonts w:ascii="Arial" w:hAnsi="Arial" w:cs="Arial"/>
          <w:i/>
          <w:sz w:val="20"/>
        </w:rPr>
        <w:t xml:space="preserve">; Д-р Чеви Чејс и Далас, Тексас </w:t>
      </w:r>
      <w:r>
        <w:rPr>
          <w:rFonts w:ascii="Arial" w:hAnsi="Arial" w:cs="Arial"/>
          <w:sz w:val="20"/>
        </w:rPr>
        <w:t xml:space="preserve">  </w:t>
      </w:r>
    </w:p>
    <w:tbl>
      <w:tblPr>
        <w:tblStyle w:val="TableGrid"/>
        <w:tblW w:w="0" w:type="auto"/>
        <w:tblLook w:val="04A0" w:firstRow="1" w:lastRow="0" w:firstColumn="1" w:lastColumn="0" w:noHBand="0" w:noVBand="1"/>
      </w:tblPr>
      <w:tblGrid>
        <w:gridCol w:w="9576"/>
      </w:tblGrid>
      <w:tr w:rsidR="00D42B59" w:rsidRPr="00C46B10" w:rsidTr="00D42B59">
        <w:tc>
          <w:tcPr>
            <w:tcW w:w="9576" w:type="dxa"/>
          </w:tcPr>
          <w:p w:rsidR="004C2FB9" w:rsidRPr="00593450" w:rsidRDefault="00D42B59" w:rsidP="00F608AE">
            <w:pPr>
              <w:jc w:val="both"/>
              <w:rPr>
                <w:rFonts w:ascii="Arial" w:hAnsi="Arial" w:cs="Arial"/>
                <w:sz w:val="20"/>
              </w:rPr>
            </w:pPr>
            <w:r w:rsidRPr="00593450">
              <w:rPr>
                <w:rFonts w:ascii="Arial" w:hAnsi="Arial" w:cs="Arial"/>
                <w:b/>
                <w:i/>
                <w:sz w:val="20"/>
              </w:rPr>
              <w:t>Што се знае</w:t>
            </w:r>
            <w:r w:rsidR="00593450" w:rsidRPr="00593450">
              <w:rPr>
                <w:rFonts w:ascii="Arial" w:hAnsi="Arial" w:cs="Arial"/>
                <w:b/>
                <w:i/>
                <w:sz w:val="20"/>
              </w:rPr>
              <w:t xml:space="preserve"> веќе</w:t>
            </w:r>
            <w:r w:rsidRPr="00593450">
              <w:rPr>
                <w:rFonts w:ascii="Arial" w:hAnsi="Arial" w:cs="Arial"/>
                <w:b/>
                <w:i/>
                <w:sz w:val="20"/>
              </w:rPr>
              <w:t xml:space="preserve"> за оваа тема?</w:t>
            </w:r>
            <w:r w:rsidRPr="00593450">
              <w:rPr>
                <w:rFonts w:ascii="Arial" w:hAnsi="Arial" w:cs="Arial"/>
                <w:sz w:val="20"/>
              </w:rPr>
              <w:t xml:space="preserve"> Третманот на хередитарниот ангиоедем (ХАЕ) </w:t>
            </w:r>
            <w:r w:rsidR="00593450" w:rsidRPr="00593450">
              <w:rPr>
                <w:rFonts w:ascii="Arial" w:hAnsi="Arial" w:cs="Arial"/>
                <w:sz w:val="20"/>
              </w:rPr>
              <w:t>претрпе</w:t>
            </w:r>
            <w:r w:rsidRPr="00593450">
              <w:rPr>
                <w:rFonts w:ascii="Arial" w:hAnsi="Arial" w:cs="Arial"/>
                <w:sz w:val="20"/>
              </w:rPr>
              <w:t xml:space="preserve"> дра</w:t>
            </w:r>
            <w:r w:rsidR="00593450" w:rsidRPr="00593450">
              <w:rPr>
                <w:rFonts w:ascii="Arial" w:hAnsi="Arial" w:cs="Arial"/>
                <w:sz w:val="20"/>
              </w:rPr>
              <w:t xml:space="preserve">матични промени бидејќи </w:t>
            </w:r>
            <w:r w:rsidRPr="00593450">
              <w:rPr>
                <w:rFonts w:ascii="Arial" w:hAnsi="Arial" w:cs="Arial"/>
                <w:sz w:val="20"/>
              </w:rPr>
              <w:t xml:space="preserve">станаа достапни </w:t>
            </w:r>
            <w:r w:rsidR="00593450" w:rsidRPr="00593450">
              <w:rPr>
                <w:rFonts w:ascii="Arial" w:hAnsi="Arial" w:cs="Arial"/>
                <w:sz w:val="20"/>
              </w:rPr>
              <w:t xml:space="preserve">понови лекови </w:t>
            </w:r>
            <w:r w:rsidRPr="00593450">
              <w:rPr>
                <w:rFonts w:ascii="Arial" w:hAnsi="Arial" w:cs="Arial"/>
                <w:sz w:val="20"/>
              </w:rPr>
              <w:t>и управувањето</w:t>
            </w:r>
            <w:r w:rsidR="004C2FB9" w:rsidRPr="00593450">
              <w:rPr>
                <w:rFonts w:ascii="Arial" w:hAnsi="Arial" w:cs="Arial"/>
                <w:sz w:val="20"/>
              </w:rPr>
              <w:t xml:space="preserve"> стана покомплексно.</w:t>
            </w:r>
          </w:p>
          <w:p w:rsidR="004C2FB9" w:rsidRPr="00593450" w:rsidRDefault="004C2FB9" w:rsidP="00F608AE">
            <w:pPr>
              <w:jc w:val="both"/>
              <w:rPr>
                <w:rFonts w:ascii="Arial" w:hAnsi="Arial" w:cs="Arial"/>
                <w:sz w:val="20"/>
              </w:rPr>
            </w:pPr>
          </w:p>
          <w:p w:rsidR="00D42B59" w:rsidRPr="00593450" w:rsidRDefault="004C2FB9" w:rsidP="00F608AE">
            <w:pPr>
              <w:jc w:val="both"/>
              <w:rPr>
                <w:rFonts w:ascii="Arial" w:hAnsi="Arial" w:cs="Arial"/>
                <w:sz w:val="20"/>
              </w:rPr>
            </w:pPr>
            <w:r w:rsidRPr="00593450">
              <w:rPr>
                <w:rFonts w:ascii="Arial" w:hAnsi="Arial" w:cs="Arial"/>
                <w:b/>
                <w:i/>
                <w:sz w:val="20"/>
              </w:rPr>
              <w:t>На кој начин оваа статија го збогатува нашето знаење?</w:t>
            </w:r>
            <w:r w:rsidR="00D42B59" w:rsidRPr="00593450">
              <w:rPr>
                <w:rFonts w:ascii="Arial" w:hAnsi="Arial" w:cs="Arial"/>
                <w:sz w:val="20"/>
              </w:rPr>
              <w:t xml:space="preserve"> </w:t>
            </w:r>
            <w:r w:rsidRPr="00593450">
              <w:rPr>
                <w:rFonts w:ascii="Arial" w:hAnsi="Arial" w:cs="Arial"/>
                <w:sz w:val="20"/>
              </w:rPr>
              <w:t xml:space="preserve"> Со оваа статија се нудат препораки за третман и управување со ХАЕ при </w:t>
            </w:r>
            <w:r w:rsidR="00FC600B" w:rsidRPr="00593450">
              <w:rPr>
                <w:rFonts w:ascii="Arial" w:hAnsi="Arial" w:cs="Arial"/>
                <w:sz w:val="20"/>
              </w:rPr>
              <w:t>недо</w:t>
            </w:r>
            <w:r w:rsidR="00593450">
              <w:rPr>
                <w:rFonts w:ascii="Arial" w:hAnsi="Arial" w:cs="Arial"/>
                <w:sz w:val="20"/>
              </w:rPr>
              <w:t>статок на Ц1 инхибитор во САД, при што</w:t>
            </w:r>
            <w:r w:rsidR="00FC600B" w:rsidRPr="00593450">
              <w:rPr>
                <w:rFonts w:ascii="Arial" w:hAnsi="Arial" w:cs="Arial"/>
                <w:sz w:val="20"/>
              </w:rPr>
              <w:t xml:space="preserve"> се покрива развојот на севкупен план за управување,</w:t>
            </w:r>
            <w:r w:rsidR="00593450">
              <w:rPr>
                <w:rFonts w:ascii="Arial" w:hAnsi="Arial" w:cs="Arial"/>
                <w:sz w:val="20"/>
              </w:rPr>
              <w:t xml:space="preserve"> третман на напади на ангиоедем</w:t>
            </w:r>
            <w:r w:rsidR="00FC600B" w:rsidRPr="00593450">
              <w:rPr>
                <w:rFonts w:ascii="Arial" w:hAnsi="Arial" w:cs="Arial"/>
                <w:sz w:val="20"/>
              </w:rPr>
              <w:t>, пр</w:t>
            </w:r>
            <w:r w:rsidR="00593450">
              <w:rPr>
                <w:rFonts w:ascii="Arial" w:hAnsi="Arial" w:cs="Arial"/>
                <w:sz w:val="20"/>
              </w:rPr>
              <w:t>офилактички третмани и следење</w:t>
            </w:r>
            <w:r w:rsidR="00FC600B" w:rsidRPr="00593450">
              <w:rPr>
                <w:rFonts w:ascii="Arial" w:hAnsi="Arial" w:cs="Arial"/>
                <w:sz w:val="20"/>
              </w:rPr>
              <w:t xml:space="preserve"> пациенти.</w:t>
            </w:r>
          </w:p>
          <w:p w:rsidR="00FC600B" w:rsidRPr="00593450" w:rsidRDefault="00FC600B" w:rsidP="00F608AE">
            <w:pPr>
              <w:jc w:val="both"/>
              <w:rPr>
                <w:rFonts w:ascii="Arial" w:hAnsi="Arial" w:cs="Arial"/>
                <w:sz w:val="20"/>
              </w:rPr>
            </w:pPr>
          </w:p>
          <w:p w:rsidR="00D42B59" w:rsidRPr="00C46B10" w:rsidRDefault="00FC600B" w:rsidP="00F608AE">
            <w:pPr>
              <w:jc w:val="both"/>
              <w:rPr>
                <w:rFonts w:ascii="Arial" w:hAnsi="Arial" w:cs="Arial"/>
                <w:sz w:val="20"/>
              </w:rPr>
            </w:pPr>
            <w:r w:rsidRPr="00593450">
              <w:rPr>
                <w:rFonts w:ascii="Arial" w:hAnsi="Arial" w:cs="Arial"/>
                <w:b/>
                <w:i/>
                <w:sz w:val="20"/>
              </w:rPr>
              <w:t>На</w:t>
            </w:r>
            <w:r w:rsidR="006A726F" w:rsidRPr="00593450">
              <w:rPr>
                <w:rFonts w:ascii="Arial" w:hAnsi="Arial" w:cs="Arial"/>
                <w:b/>
                <w:i/>
                <w:sz w:val="20"/>
              </w:rPr>
              <w:t xml:space="preserve"> кој начин со оваа студија се в</w:t>
            </w:r>
            <w:r w:rsidRPr="00593450">
              <w:rPr>
                <w:rFonts w:ascii="Arial" w:hAnsi="Arial" w:cs="Arial"/>
                <w:b/>
                <w:i/>
                <w:sz w:val="20"/>
              </w:rPr>
              <w:t>лијае врз тековните инструкции за управување?</w:t>
            </w:r>
            <w:r w:rsidRPr="00C46B10">
              <w:rPr>
                <w:rFonts w:ascii="Arial" w:hAnsi="Arial" w:cs="Arial"/>
                <w:i/>
                <w:color w:val="548DD4" w:themeColor="text2" w:themeTint="99"/>
                <w:sz w:val="20"/>
              </w:rPr>
              <w:t xml:space="preserve"> </w:t>
            </w:r>
            <w:r w:rsidRPr="00C46B10">
              <w:rPr>
                <w:rFonts w:ascii="Arial" w:hAnsi="Arial" w:cs="Arial"/>
                <w:sz w:val="20"/>
              </w:rPr>
              <w:t xml:space="preserve">Врз основа на критериумите развиени </w:t>
            </w:r>
            <w:r w:rsidR="00593450">
              <w:rPr>
                <w:rFonts w:ascii="Arial" w:hAnsi="Arial" w:cs="Arial"/>
                <w:sz w:val="20"/>
              </w:rPr>
              <w:t xml:space="preserve">во оваа статија, докторите ќе </w:t>
            </w:r>
            <w:r w:rsidRPr="00C46B10">
              <w:rPr>
                <w:rFonts w:ascii="Arial" w:hAnsi="Arial" w:cs="Arial"/>
                <w:sz w:val="20"/>
              </w:rPr>
              <w:t>нудат оптимизирано водење на ХАЕ пациентите преку употреба на сите лекови и пристапи достапни за третман на ХАЕ</w:t>
            </w:r>
            <w:r w:rsidR="006A726F" w:rsidRPr="00C46B10">
              <w:rPr>
                <w:rFonts w:ascii="Arial" w:hAnsi="Arial" w:cs="Arial"/>
                <w:sz w:val="20"/>
              </w:rPr>
              <w:t>.</w:t>
            </w:r>
          </w:p>
          <w:p w:rsidR="00D42B59" w:rsidRPr="00C46B10" w:rsidRDefault="00D42B59" w:rsidP="00F608AE">
            <w:pPr>
              <w:jc w:val="both"/>
              <w:rPr>
                <w:rFonts w:ascii="Arial" w:hAnsi="Arial" w:cs="Arial"/>
                <w:sz w:val="20"/>
              </w:rPr>
            </w:pPr>
          </w:p>
        </w:tc>
      </w:tr>
    </w:tbl>
    <w:p w:rsidR="00B90499" w:rsidRPr="00C46B10" w:rsidRDefault="00EC0E26" w:rsidP="00F608AE">
      <w:pPr>
        <w:jc w:val="both"/>
        <w:rPr>
          <w:rFonts w:ascii="Arial" w:hAnsi="Arial" w:cs="Arial"/>
          <w:sz w:val="20"/>
        </w:rPr>
      </w:pPr>
      <w:r w:rsidRPr="00C46B10">
        <w:rPr>
          <w:rFonts w:ascii="Arial" w:hAnsi="Arial" w:cs="Arial"/>
          <w:sz w:val="20"/>
        </w:rPr>
        <w:t>ИСТОРИЈА: Третманот на хередитарниот ангиоедем (ХАЕ) п</w:t>
      </w:r>
      <w:r w:rsidR="00593450">
        <w:rPr>
          <w:rFonts w:ascii="Arial" w:hAnsi="Arial" w:cs="Arial"/>
          <w:sz w:val="20"/>
        </w:rPr>
        <w:t>ретрпе</w:t>
      </w:r>
      <w:r w:rsidRPr="00C46B10">
        <w:rPr>
          <w:rFonts w:ascii="Arial" w:hAnsi="Arial" w:cs="Arial"/>
          <w:sz w:val="20"/>
        </w:rPr>
        <w:t xml:space="preserve"> драматични промени со оглед на тоа што последните години пристигнаа понови лекови. Оптималната грижа за овие пациенти подразбира сеопфатен план на водење на пациентите. Иако неколку трудови во кои </w:t>
      </w:r>
      <w:r w:rsidR="00593450">
        <w:rPr>
          <w:rFonts w:ascii="Arial" w:hAnsi="Arial" w:cs="Arial"/>
          <w:sz w:val="20"/>
        </w:rPr>
        <w:t xml:space="preserve">се постигна </w:t>
      </w:r>
      <w:r w:rsidRPr="00C46B10">
        <w:rPr>
          <w:rFonts w:ascii="Arial" w:hAnsi="Arial" w:cs="Arial"/>
          <w:sz w:val="20"/>
        </w:rPr>
        <w:t>консен</w:t>
      </w:r>
      <w:r w:rsidR="00593450">
        <w:rPr>
          <w:rFonts w:ascii="Arial" w:hAnsi="Arial" w:cs="Arial"/>
          <w:sz w:val="20"/>
        </w:rPr>
        <w:t xml:space="preserve">зус беа објавени во врска со </w:t>
      </w:r>
      <w:r w:rsidRPr="00C46B10">
        <w:rPr>
          <w:rFonts w:ascii="Arial" w:hAnsi="Arial" w:cs="Arial"/>
          <w:sz w:val="20"/>
        </w:rPr>
        <w:t xml:space="preserve">дијагнозата и </w:t>
      </w:r>
      <w:r w:rsidR="00593450">
        <w:rPr>
          <w:rFonts w:ascii="Arial" w:hAnsi="Arial" w:cs="Arial"/>
          <w:sz w:val="20"/>
        </w:rPr>
        <w:t>третманот на ХАЕ, не се развија</w:t>
      </w:r>
      <w:r w:rsidRPr="00C46B10">
        <w:rPr>
          <w:rFonts w:ascii="Arial" w:hAnsi="Arial" w:cs="Arial"/>
          <w:sz w:val="20"/>
        </w:rPr>
        <w:t xml:space="preserve"> начела за сеопфатен план на управување. </w:t>
      </w:r>
      <w:r w:rsidRPr="00C46B10">
        <w:rPr>
          <w:rFonts w:ascii="Arial" w:hAnsi="Arial" w:cs="Arial"/>
          <w:sz w:val="20"/>
        </w:rPr>
        <w:br w:type="page"/>
      </w:r>
    </w:p>
    <w:p w:rsidR="00F608AE" w:rsidRPr="00C46B10" w:rsidRDefault="00F608AE" w:rsidP="00F608AE">
      <w:pPr>
        <w:spacing w:after="0"/>
        <w:jc w:val="both"/>
        <w:rPr>
          <w:rFonts w:ascii="Arial" w:hAnsi="Arial"/>
          <w:i/>
          <w:sz w:val="20"/>
        </w:rPr>
        <w:sectPr w:rsidR="00F608AE" w:rsidRPr="00C46B10" w:rsidSect="00F608AE">
          <w:pgSz w:w="12240" w:h="15840"/>
          <w:pgMar w:top="1440" w:right="1440" w:bottom="1440" w:left="1440" w:header="720" w:footer="720" w:gutter="0"/>
          <w:cols w:space="720"/>
          <w:docGrid w:linePitch="360"/>
        </w:sectPr>
      </w:pPr>
    </w:p>
    <w:p w:rsidR="00F608AE" w:rsidRPr="00C46B10" w:rsidRDefault="00F608AE" w:rsidP="00F608AE">
      <w:pPr>
        <w:spacing w:after="0"/>
        <w:jc w:val="both"/>
        <w:rPr>
          <w:rFonts w:ascii="Arial" w:hAnsi="Arial"/>
          <w:i/>
          <w:sz w:val="20"/>
        </w:rPr>
      </w:pPr>
      <w:r w:rsidRPr="00C46B10">
        <w:rPr>
          <w:rFonts w:ascii="Arial" w:hAnsi="Arial"/>
          <w:i/>
          <w:sz w:val="20"/>
        </w:rPr>
        <w:lastRenderedPageBreak/>
        <w:t>Употребени кратенки</w:t>
      </w:r>
    </w:p>
    <w:p w:rsidR="00F608AE" w:rsidRPr="00C46B10" w:rsidRDefault="00F608AE" w:rsidP="00F608AE">
      <w:pPr>
        <w:spacing w:after="0"/>
        <w:jc w:val="both"/>
        <w:rPr>
          <w:rFonts w:ascii="Arial" w:hAnsi="Arial"/>
          <w:i/>
          <w:sz w:val="20"/>
        </w:rPr>
      </w:pPr>
      <w:r w:rsidRPr="00C46B10">
        <w:rPr>
          <w:rFonts w:ascii="Arial" w:hAnsi="Arial"/>
          <w:i/>
          <w:sz w:val="20"/>
        </w:rPr>
        <w:t>BID – Двапати на ден</w:t>
      </w:r>
    </w:p>
    <w:p w:rsidR="00F608AE" w:rsidRPr="00C46B10" w:rsidRDefault="00F608AE" w:rsidP="00F608AE">
      <w:pPr>
        <w:spacing w:after="0"/>
        <w:jc w:val="both"/>
        <w:rPr>
          <w:rFonts w:ascii="Arial" w:hAnsi="Arial"/>
          <w:i/>
          <w:sz w:val="20"/>
        </w:rPr>
      </w:pPr>
      <w:r w:rsidRPr="00C46B10">
        <w:rPr>
          <w:rFonts w:ascii="Arial" w:hAnsi="Arial"/>
          <w:i/>
          <w:sz w:val="20"/>
        </w:rPr>
        <w:t>C1INH- Ц1 инхибитор</w:t>
      </w:r>
    </w:p>
    <w:p w:rsidR="00F608AE" w:rsidRPr="00C46B10" w:rsidRDefault="00F608AE" w:rsidP="00F608AE">
      <w:pPr>
        <w:spacing w:after="0"/>
        <w:jc w:val="both"/>
        <w:rPr>
          <w:rFonts w:ascii="Arial" w:hAnsi="Arial"/>
          <w:i/>
          <w:sz w:val="20"/>
        </w:rPr>
      </w:pPr>
      <w:r w:rsidRPr="00C46B10">
        <w:rPr>
          <w:rFonts w:ascii="Arial" w:hAnsi="Arial"/>
          <w:i/>
          <w:sz w:val="20"/>
        </w:rPr>
        <w:t>АХЛ на САД – Администрација за храна и лекови на САД</w:t>
      </w:r>
    </w:p>
    <w:p w:rsidR="00F608AE" w:rsidRPr="00C46B10" w:rsidRDefault="00F608AE" w:rsidP="00F608AE">
      <w:pPr>
        <w:spacing w:after="0"/>
        <w:jc w:val="both"/>
        <w:rPr>
          <w:rFonts w:ascii="Arial" w:hAnsi="Arial"/>
          <w:i/>
          <w:sz w:val="20"/>
        </w:rPr>
      </w:pPr>
      <w:r w:rsidRPr="00C46B10">
        <w:rPr>
          <w:rFonts w:ascii="Arial" w:hAnsi="Arial"/>
          <w:i/>
          <w:sz w:val="20"/>
        </w:rPr>
        <w:t>ХАЕ – Хередитарен ангиоедем</w:t>
      </w:r>
    </w:p>
    <w:p w:rsidR="00F608AE" w:rsidRPr="00C46B10" w:rsidRDefault="00F608AE" w:rsidP="00F608AE">
      <w:pPr>
        <w:spacing w:after="0"/>
        <w:jc w:val="both"/>
        <w:rPr>
          <w:rFonts w:ascii="Arial" w:hAnsi="Arial"/>
          <w:i/>
          <w:sz w:val="20"/>
        </w:rPr>
      </w:pPr>
      <w:r w:rsidRPr="00C46B10">
        <w:rPr>
          <w:rFonts w:ascii="Arial" w:hAnsi="Arial"/>
          <w:i/>
          <w:sz w:val="20"/>
        </w:rPr>
        <w:t>ХАЕА – Здружениние за хередитарен ангиоедем</w:t>
      </w:r>
    </w:p>
    <w:p w:rsidR="00F608AE" w:rsidRPr="00C46B10" w:rsidRDefault="00F608AE" w:rsidP="00F608AE">
      <w:pPr>
        <w:spacing w:after="0"/>
        <w:jc w:val="both"/>
        <w:rPr>
          <w:rFonts w:ascii="Arial" w:hAnsi="Arial"/>
          <w:i/>
          <w:sz w:val="20"/>
        </w:rPr>
      </w:pPr>
      <w:r w:rsidRPr="00C46B10">
        <w:rPr>
          <w:rFonts w:ascii="Arial" w:hAnsi="Arial"/>
          <w:i/>
          <w:sz w:val="20"/>
        </w:rPr>
        <w:t>МСО – Медицински советодавен одбор</w:t>
      </w:r>
    </w:p>
    <w:p w:rsidR="00F608AE" w:rsidRPr="00C46B10" w:rsidRDefault="00F608AE" w:rsidP="00F608AE">
      <w:pPr>
        <w:spacing w:after="0"/>
        <w:jc w:val="both"/>
        <w:rPr>
          <w:rFonts w:ascii="Arial" w:hAnsi="Arial"/>
          <w:i/>
          <w:sz w:val="20"/>
        </w:rPr>
      </w:pPr>
      <w:r w:rsidRPr="00C46B10">
        <w:rPr>
          <w:rFonts w:ascii="Arial" w:hAnsi="Arial"/>
          <w:i/>
          <w:sz w:val="20"/>
        </w:rPr>
        <w:t>n/a – Не е достапно</w:t>
      </w:r>
    </w:p>
    <w:p w:rsidR="00F608AE" w:rsidRPr="00C46B10" w:rsidRDefault="00F608AE" w:rsidP="00F608AE">
      <w:pPr>
        <w:spacing w:after="0"/>
        <w:jc w:val="both"/>
        <w:rPr>
          <w:rFonts w:ascii="Arial" w:hAnsi="Arial"/>
          <w:i/>
          <w:sz w:val="20"/>
          <w:u w:val="single"/>
        </w:rPr>
      </w:pPr>
      <w:r w:rsidRPr="00C46B10">
        <w:rPr>
          <w:rFonts w:ascii="Arial" w:hAnsi="Arial"/>
          <w:i/>
          <w:sz w:val="20"/>
          <w:u w:val="single"/>
        </w:rPr>
        <w:t>TID – Трипати на ден</w:t>
      </w:r>
      <w:r w:rsidRPr="00C46B10">
        <w:rPr>
          <w:rFonts w:ascii="Arial" w:hAnsi="Arial"/>
          <w:i/>
          <w:sz w:val="20"/>
          <w:u w:val="single"/>
        </w:rPr>
        <w:tab/>
      </w:r>
      <w:r w:rsidRPr="00C46B10">
        <w:rPr>
          <w:rFonts w:ascii="Arial" w:hAnsi="Arial"/>
          <w:i/>
          <w:sz w:val="20"/>
          <w:u w:val="single"/>
        </w:rPr>
        <w:tab/>
      </w:r>
      <w:r w:rsidRPr="00C46B10">
        <w:rPr>
          <w:rFonts w:ascii="Arial" w:hAnsi="Arial"/>
          <w:i/>
          <w:sz w:val="20"/>
          <w:u w:val="single"/>
        </w:rPr>
        <w:tab/>
      </w:r>
      <w:r w:rsidRPr="00C46B10">
        <w:rPr>
          <w:rFonts w:ascii="Arial" w:hAnsi="Arial"/>
          <w:i/>
          <w:sz w:val="20"/>
          <w:u w:val="single"/>
        </w:rPr>
        <w:tab/>
      </w:r>
    </w:p>
    <w:p w:rsidR="00F608AE" w:rsidRPr="00C46B10" w:rsidRDefault="00F608AE" w:rsidP="00F608AE">
      <w:pPr>
        <w:spacing w:after="0"/>
        <w:jc w:val="both"/>
        <w:rPr>
          <w:rFonts w:ascii="Arial" w:hAnsi="Arial"/>
          <w:i/>
          <w:sz w:val="20"/>
          <w:u w:val="single"/>
        </w:rPr>
      </w:pPr>
    </w:p>
    <w:p w:rsidR="00F608AE" w:rsidRPr="00C46B10" w:rsidRDefault="00F608AE" w:rsidP="00F608AE">
      <w:pPr>
        <w:spacing w:after="0"/>
        <w:jc w:val="both"/>
        <w:rPr>
          <w:rFonts w:ascii="Arial" w:hAnsi="Arial"/>
          <w:sz w:val="20"/>
        </w:rPr>
      </w:pPr>
      <w:r w:rsidRPr="00C46B10">
        <w:rPr>
          <w:rFonts w:ascii="Arial" w:hAnsi="Arial"/>
          <w:b/>
          <w:sz w:val="20"/>
        </w:rPr>
        <w:t>ЦЕЛ:</w:t>
      </w:r>
      <w:r w:rsidRPr="00C46B10">
        <w:rPr>
          <w:rFonts w:ascii="Arial" w:hAnsi="Arial"/>
          <w:sz w:val="20"/>
        </w:rPr>
        <w:t xml:space="preserve"> </w:t>
      </w:r>
      <w:r w:rsidR="00704C00">
        <w:rPr>
          <w:rFonts w:ascii="Arial" w:hAnsi="Arial"/>
          <w:sz w:val="20"/>
        </w:rPr>
        <w:t>Развој</w:t>
      </w:r>
      <w:r w:rsidR="00BF4F60">
        <w:rPr>
          <w:rFonts w:ascii="Arial" w:hAnsi="Arial"/>
          <w:sz w:val="20"/>
        </w:rPr>
        <w:t xml:space="preserve"> на</w:t>
      </w:r>
      <w:r w:rsidRPr="00C46B10">
        <w:rPr>
          <w:rFonts w:ascii="Arial" w:hAnsi="Arial"/>
          <w:sz w:val="20"/>
        </w:rPr>
        <w:t xml:space="preserve"> најнови препораки за третман и управување со ХАЕ, што е резултат на недостаток на Ц1 инхибитор (C1INH) во Соединетите Американски Држави.</w:t>
      </w:r>
    </w:p>
    <w:p w:rsidR="00F608AE" w:rsidRPr="00C46B10" w:rsidRDefault="00F608AE" w:rsidP="00F608AE">
      <w:pPr>
        <w:spacing w:after="0"/>
        <w:jc w:val="both"/>
        <w:rPr>
          <w:rFonts w:ascii="Arial" w:hAnsi="Arial"/>
          <w:sz w:val="20"/>
        </w:rPr>
      </w:pPr>
      <w:r w:rsidRPr="00C46B10">
        <w:rPr>
          <w:rFonts w:ascii="Arial" w:hAnsi="Arial"/>
          <w:sz w:val="20"/>
        </w:rPr>
        <w:t>МЕТОДИ: Членовите на Здружението за хередитарен ангиоедем на САД почна</w:t>
      </w:r>
      <w:r w:rsidR="00BF4F60">
        <w:rPr>
          <w:rFonts w:ascii="Arial" w:hAnsi="Arial"/>
          <w:sz w:val="20"/>
        </w:rPr>
        <w:t>а</w:t>
      </w:r>
      <w:r w:rsidRPr="00C46B10">
        <w:rPr>
          <w:rFonts w:ascii="Arial" w:hAnsi="Arial"/>
          <w:sz w:val="20"/>
        </w:rPr>
        <w:t xml:space="preserve"> да ја прегледува</w:t>
      </w:r>
      <w:r w:rsidR="00BF4F60">
        <w:rPr>
          <w:rFonts w:ascii="Arial" w:hAnsi="Arial"/>
          <w:sz w:val="20"/>
        </w:rPr>
        <w:t>ат</w:t>
      </w:r>
      <w:r w:rsidRPr="00C46B10">
        <w:rPr>
          <w:rFonts w:ascii="Arial" w:hAnsi="Arial"/>
          <w:sz w:val="20"/>
        </w:rPr>
        <w:t xml:space="preserve"> литературата во врска со третманот на ХАЕ. </w:t>
      </w:r>
      <w:r w:rsidR="00BF4F60">
        <w:rPr>
          <w:rFonts w:ascii="Arial" w:hAnsi="Arial"/>
          <w:sz w:val="20"/>
        </w:rPr>
        <w:t>Се развија п</w:t>
      </w:r>
      <w:r w:rsidRPr="00C46B10">
        <w:rPr>
          <w:rFonts w:ascii="Arial" w:hAnsi="Arial"/>
          <w:sz w:val="20"/>
        </w:rPr>
        <w:t>релиминарни препораки врз основа на прегледот на литературата, дискусиите при состаноците лице-в-лице и преч</w:t>
      </w:r>
      <w:r w:rsidR="00BF4F60">
        <w:rPr>
          <w:rFonts w:ascii="Arial" w:hAnsi="Arial"/>
          <w:sz w:val="20"/>
        </w:rPr>
        <w:t>и</w:t>
      </w:r>
      <w:r w:rsidRPr="00C46B10">
        <w:rPr>
          <w:rFonts w:ascii="Arial" w:hAnsi="Arial"/>
          <w:sz w:val="20"/>
        </w:rPr>
        <w:t>стув</w:t>
      </w:r>
      <w:r w:rsidR="00BF4F60">
        <w:rPr>
          <w:rFonts w:ascii="Arial" w:hAnsi="Arial"/>
          <w:sz w:val="20"/>
        </w:rPr>
        <w:t>ањата на серија нацрти. Конечните</w:t>
      </w:r>
      <w:r w:rsidRPr="00C46B10">
        <w:rPr>
          <w:rFonts w:ascii="Arial" w:hAnsi="Arial"/>
          <w:sz w:val="20"/>
        </w:rPr>
        <w:t xml:space="preserve"> препораки го рефлектираат едногласниот консензус на </w:t>
      </w:r>
      <w:r w:rsidR="00BF4F60">
        <w:rPr>
          <w:rFonts w:ascii="Arial" w:hAnsi="Arial"/>
          <w:sz w:val="20"/>
        </w:rPr>
        <w:t>М</w:t>
      </w:r>
      <w:r w:rsidRPr="00C46B10">
        <w:rPr>
          <w:rFonts w:ascii="Arial" w:hAnsi="Arial"/>
          <w:sz w:val="20"/>
        </w:rPr>
        <w:t xml:space="preserve">едицинскиот советодавен одбор и на </w:t>
      </w:r>
      <w:r w:rsidR="00BF4F60">
        <w:rPr>
          <w:rFonts w:ascii="Arial" w:hAnsi="Arial"/>
          <w:sz w:val="20"/>
        </w:rPr>
        <w:t>раководството на</w:t>
      </w:r>
      <w:r w:rsidRPr="00C46B10">
        <w:rPr>
          <w:rFonts w:ascii="Arial" w:hAnsi="Arial"/>
          <w:sz w:val="20"/>
        </w:rPr>
        <w:t xml:space="preserve"> Здружението </w:t>
      </w:r>
      <w:r w:rsidR="006C4AA7" w:rsidRPr="00C46B10">
        <w:rPr>
          <w:rFonts w:ascii="Arial" w:hAnsi="Arial"/>
          <w:sz w:val="20"/>
        </w:rPr>
        <w:t>за хередитарен ангиоедем на САД.</w:t>
      </w:r>
    </w:p>
    <w:p w:rsidR="006C4AA7" w:rsidRPr="00C46B10" w:rsidRDefault="006C4AA7" w:rsidP="00F608AE">
      <w:pPr>
        <w:spacing w:after="0"/>
        <w:jc w:val="both"/>
        <w:rPr>
          <w:rFonts w:ascii="Arial" w:hAnsi="Arial"/>
          <w:sz w:val="20"/>
        </w:rPr>
      </w:pPr>
      <w:r w:rsidRPr="00C46B10">
        <w:rPr>
          <w:rFonts w:ascii="Arial" w:hAnsi="Arial"/>
          <w:sz w:val="20"/>
        </w:rPr>
        <w:t>РЕЗУЛТАТИ: Се обезбедија препораки во</w:t>
      </w:r>
      <w:r w:rsidR="002A4E1B" w:rsidRPr="00C46B10">
        <w:rPr>
          <w:rFonts w:ascii="Arial" w:hAnsi="Arial"/>
          <w:sz w:val="20"/>
        </w:rPr>
        <w:t xml:space="preserve"> врска со сеопфатен план за грижа за</w:t>
      </w:r>
      <w:r w:rsidRPr="00C46B10">
        <w:rPr>
          <w:rFonts w:ascii="Arial" w:hAnsi="Arial"/>
          <w:sz w:val="20"/>
        </w:rPr>
        <w:t xml:space="preserve"> ХАЕ, вклучувајќи го следното: развој на севкупен план за </w:t>
      </w:r>
      <w:r w:rsidR="002A4E1B" w:rsidRPr="00C46B10">
        <w:rPr>
          <w:rFonts w:ascii="Arial" w:hAnsi="Arial"/>
          <w:sz w:val="20"/>
        </w:rPr>
        <w:t>управување со ХАЕ, третман на нападите од ангиоедем, профилактички третман и следење пациенти.</w:t>
      </w:r>
    </w:p>
    <w:p w:rsidR="002A4E1B" w:rsidRPr="00C46B10" w:rsidRDefault="002A4E1B" w:rsidP="00F608AE">
      <w:pPr>
        <w:spacing w:after="0"/>
        <w:jc w:val="both"/>
        <w:rPr>
          <w:rFonts w:ascii="Arial" w:hAnsi="Arial"/>
          <w:sz w:val="20"/>
        </w:rPr>
      </w:pPr>
      <w:r w:rsidRPr="00C46B10">
        <w:rPr>
          <w:rFonts w:ascii="Arial" w:hAnsi="Arial"/>
          <w:sz w:val="20"/>
        </w:rPr>
        <w:t xml:space="preserve">ЗАКЛУЧОК: </w:t>
      </w:r>
      <w:r w:rsidR="00CD27F8">
        <w:rPr>
          <w:rFonts w:ascii="Arial" w:hAnsi="Arial"/>
          <w:sz w:val="20"/>
        </w:rPr>
        <w:t>Со с</w:t>
      </w:r>
      <w:r w:rsidRPr="00C46B10">
        <w:rPr>
          <w:rFonts w:ascii="Arial" w:hAnsi="Arial"/>
          <w:sz w:val="20"/>
        </w:rPr>
        <w:t>еопфатен индивидуализиран план за управување развиен меѓу експерт</w:t>
      </w:r>
      <w:r w:rsidR="00CD27F8">
        <w:rPr>
          <w:rFonts w:ascii="Arial" w:hAnsi="Arial"/>
          <w:sz w:val="20"/>
        </w:rPr>
        <w:t>от доктор за ХАЕ</w:t>
      </w:r>
      <w:r w:rsidRPr="00C46B10">
        <w:rPr>
          <w:rFonts w:ascii="Arial" w:hAnsi="Arial"/>
          <w:sz w:val="20"/>
        </w:rPr>
        <w:t xml:space="preserve"> и пациент</w:t>
      </w:r>
      <w:r w:rsidR="00CD27F8">
        <w:rPr>
          <w:rFonts w:ascii="Arial" w:hAnsi="Arial"/>
          <w:sz w:val="20"/>
        </w:rPr>
        <w:t>от</w:t>
      </w:r>
      <w:r w:rsidRPr="00C46B10">
        <w:rPr>
          <w:rFonts w:ascii="Arial" w:hAnsi="Arial"/>
          <w:sz w:val="20"/>
        </w:rPr>
        <w:t xml:space="preserve">, во соработка со </w:t>
      </w:r>
      <w:r w:rsidR="00300E0D" w:rsidRPr="00C46B10">
        <w:rPr>
          <w:rFonts w:ascii="Arial" w:hAnsi="Arial"/>
          <w:sz w:val="20"/>
        </w:rPr>
        <w:t>локалните медицински служби и</w:t>
      </w:r>
      <w:r w:rsidR="00BF4F60">
        <w:rPr>
          <w:rFonts w:ascii="Arial" w:hAnsi="Arial"/>
          <w:sz w:val="20"/>
        </w:rPr>
        <w:t xml:space="preserve"> ургентни</w:t>
      </w:r>
      <w:r w:rsidR="00300E0D" w:rsidRPr="00C46B10">
        <w:rPr>
          <w:rFonts w:ascii="Arial" w:hAnsi="Arial"/>
          <w:sz w:val="20"/>
        </w:rPr>
        <w:t xml:space="preserve"> оддели </w:t>
      </w:r>
      <w:r w:rsidR="00CD27F8">
        <w:rPr>
          <w:rFonts w:ascii="Arial" w:hAnsi="Arial"/>
          <w:sz w:val="20"/>
        </w:rPr>
        <w:t>може да им се</w:t>
      </w:r>
      <w:r w:rsidR="00300E0D" w:rsidRPr="00C46B10">
        <w:rPr>
          <w:rFonts w:ascii="Arial" w:hAnsi="Arial"/>
          <w:sz w:val="20"/>
        </w:rPr>
        <w:t xml:space="preserve"> </w:t>
      </w:r>
      <w:r w:rsidR="00CD27F8">
        <w:rPr>
          <w:rFonts w:ascii="Arial" w:hAnsi="Arial"/>
          <w:sz w:val="20"/>
        </w:rPr>
        <w:t xml:space="preserve">овозможи на пациентите </w:t>
      </w:r>
      <w:r w:rsidR="00300E0D" w:rsidRPr="00C46B10">
        <w:rPr>
          <w:rFonts w:ascii="Arial" w:hAnsi="Arial"/>
          <w:sz w:val="20"/>
        </w:rPr>
        <w:t xml:space="preserve">да водат нормален живот. </w:t>
      </w:r>
      <w:r w:rsidR="00300E0D" w:rsidRPr="00C46B10">
        <w:rPr>
          <w:noProof/>
          <w:sz w:val="20"/>
        </w:rPr>
        <w:drawing>
          <wp:inline distT="0" distB="0" distL="0" distR="0">
            <wp:extent cx="131075" cy="131075"/>
            <wp:effectExtent l="19050" t="0" r="2275" b="0"/>
            <wp:docPr id="1" name="Picture 1" descr="Image result for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yright"/>
                    <pic:cNvPicPr>
                      <a:picLocks noChangeAspect="1" noChangeArrowheads="1"/>
                    </pic:cNvPicPr>
                  </pic:nvPicPr>
                  <pic:blipFill>
                    <a:blip r:embed="rId9" cstate="print"/>
                    <a:srcRect/>
                    <a:stretch>
                      <a:fillRect/>
                    </a:stretch>
                  </pic:blipFill>
                  <pic:spPr bwMode="auto">
                    <a:xfrm>
                      <a:off x="0" y="0"/>
                      <a:ext cx="132126" cy="132126"/>
                    </a:xfrm>
                    <a:prstGeom prst="rect">
                      <a:avLst/>
                    </a:prstGeom>
                    <a:noFill/>
                    <a:ln w="9525">
                      <a:noFill/>
                      <a:miter lim="800000"/>
                      <a:headEnd/>
                      <a:tailEnd/>
                    </a:ln>
                  </pic:spPr>
                </pic:pic>
              </a:graphicData>
            </a:graphic>
          </wp:inline>
        </w:drawing>
      </w:r>
      <w:r w:rsidR="002F19CA" w:rsidRPr="00C46B10">
        <w:rPr>
          <w:rFonts w:ascii="Arial" w:hAnsi="Arial"/>
          <w:sz w:val="20"/>
        </w:rPr>
        <w:t xml:space="preserve"> 2013 Американската Академија за алергија, астма и имунологија </w:t>
      </w:r>
      <w:r w:rsidR="00891C24" w:rsidRPr="00C46B10">
        <w:rPr>
          <w:rFonts w:ascii="Arial" w:hAnsi="Arial"/>
          <w:sz w:val="20"/>
        </w:rPr>
        <w:t xml:space="preserve">(J Allergy </w:t>
      </w:r>
      <w:proofErr w:type="spellStart"/>
      <w:r w:rsidR="00891C24" w:rsidRPr="00C46B10">
        <w:rPr>
          <w:rFonts w:ascii="Arial" w:hAnsi="Arial"/>
          <w:sz w:val="20"/>
        </w:rPr>
        <w:t>Clin</w:t>
      </w:r>
      <w:proofErr w:type="spellEnd"/>
      <w:r w:rsidR="00891C24" w:rsidRPr="00C46B10">
        <w:rPr>
          <w:rFonts w:ascii="Arial" w:hAnsi="Arial"/>
          <w:sz w:val="20"/>
        </w:rPr>
        <w:t xml:space="preserve"> Immunology: In Practice 2013</w:t>
      </w:r>
      <w:proofErr w:type="gramStart"/>
      <w:r w:rsidR="00891C24" w:rsidRPr="00C46B10">
        <w:rPr>
          <w:rFonts w:ascii="Arial" w:hAnsi="Arial"/>
          <w:sz w:val="20"/>
        </w:rPr>
        <w:t>;1:458</w:t>
      </w:r>
      <w:proofErr w:type="gramEnd"/>
      <w:r w:rsidR="00891C24" w:rsidRPr="00C46B10">
        <w:rPr>
          <w:rFonts w:ascii="Arial" w:hAnsi="Arial"/>
          <w:sz w:val="20"/>
        </w:rPr>
        <w:t>-67)</w:t>
      </w:r>
    </w:p>
    <w:p w:rsidR="00891C24" w:rsidRPr="00C46B10" w:rsidRDefault="00891C24" w:rsidP="00F608AE">
      <w:pPr>
        <w:spacing w:after="0"/>
        <w:jc w:val="both"/>
        <w:rPr>
          <w:rFonts w:ascii="Arial" w:hAnsi="Arial"/>
          <w:sz w:val="20"/>
        </w:rPr>
      </w:pPr>
    </w:p>
    <w:p w:rsidR="00891C24" w:rsidRPr="00C46B10" w:rsidRDefault="00891C24" w:rsidP="00F608AE">
      <w:pPr>
        <w:spacing w:after="0"/>
        <w:jc w:val="both"/>
        <w:rPr>
          <w:rFonts w:ascii="Arial" w:hAnsi="Arial"/>
          <w:i/>
          <w:sz w:val="20"/>
        </w:rPr>
      </w:pPr>
      <w:r w:rsidRPr="00C46B10">
        <w:rPr>
          <w:rFonts w:ascii="Arial" w:hAnsi="Arial"/>
          <w:b/>
          <w:i/>
          <w:sz w:val="20"/>
        </w:rPr>
        <w:t xml:space="preserve">Клучни зборови: </w:t>
      </w:r>
      <w:r w:rsidRPr="00C46B10">
        <w:rPr>
          <w:rFonts w:ascii="Arial" w:hAnsi="Arial"/>
          <w:i/>
          <w:sz w:val="20"/>
        </w:rPr>
        <w:t xml:space="preserve">Хередитарен ангиоедем: Ц1 инхибитор; Брадикинин; Управување; </w:t>
      </w:r>
      <w:r w:rsidR="00CD27F8">
        <w:rPr>
          <w:rFonts w:ascii="Arial" w:hAnsi="Arial"/>
          <w:i/>
          <w:sz w:val="20"/>
        </w:rPr>
        <w:t>Третман според потребата</w:t>
      </w:r>
      <w:r w:rsidR="001574E3" w:rsidRPr="00C46B10">
        <w:rPr>
          <w:rFonts w:ascii="Arial" w:hAnsi="Arial"/>
          <w:i/>
          <w:sz w:val="20"/>
        </w:rPr>
        <w:t xml:space="preserve">; </w:t>
      </w:r>
      <w:r w:rsidR="00CD27F8">
        <w:rPr>
          <w:rFonts w:ascii="Arial" w:hAnsi="Arial"/>
          <w:i/>
          <w:sz w:val="20"/>
        </w:rPr>
        <w:t>П</w:t>
      </w:r>
      <w:r w:rsidR="001574E3" w:rsidRPr="00C46B10">
        <w:rPr>
          <w:rFonts w:ascii="Arial" w:hAnsi="Arial"/>
          <w:i/>
          <w:sz w:val="20"/>
        </w:rPr>
        <w:t>рофилактички третман</w:t>
      </w:r>
    </w:p>
    <w:p w:rsidR="00F608AE" w:rsidRPr="00C46B10" w:rsidRDefault="00F608AE" w:rsidP="00F608AE">
      <w:pPr>
        <w:spacing w:after="0"/>
        <w:jc w:val="both"/>
        <w:rPr>
          <w:rFonts w:ascii="Arial" w:hAnsi="Arial"/>
          <w:sz w:val="20"/>
        </w:rPr>
      </w:pPr>
    </w:p>
    <w:p w:rsidR="00F608AE" w:rsidRDefault="001574E3" w:rsidP="00F608AE">
      <w:pPr>
        <w:jc w:val="both"/>
        <w:rPr>
          <w:rFonts w:ascii="Arial" w:hAnsi="Arial" w:cs="Arial"/>
          <w:sz w:val="20"/>
        </w:rPr>
      </w:pPr>
      <w:r w:rsidRPr="00C46B10">
        <w:rPr>
          <w:rFonts w:ascii="Arial" w:hAnsi="Arial" w:cs="Arial"/>
          <w:sz w:val="20"/>
        </w:rPr>
        <w:lastRenderedPageBreak/>
        <w:tab/>
        <w:t>Хередитарниот ангиоедем (Х</w:t>
      </w:r>
      <w:r w:rsidR="00E2115D">
        <w:rPr>
          <w:rFonts w:ascii="Arial" w:hAnsi="Arial" w:cs="Arial"/>
          <w:sz w:val="20"/>
        </w:rPr>
        <w:t>АЕ</w:t>
      </w:r>
      <w:r w:rsidRPr="00C46B10">
        <w:rPr>
          <w:rFonts w:ascii="Arial" w:hAnsi="Arial" w:cs="Arial"/>
          <w:sz w:val="20"/>
        </w:rPr>
        <w:t xml:space="preserve">) е ретка автосоматски доминантна билест, што се карактеризира со епизоди </w:t>
      </w:r>
      <w:r w:rsidR="00E2115D">
        <w:rPr>
          <w:rFonts w:ascii="Arial" w:hAnsi="Arial" w:cs="Arial"/>
          <w:sz w:val="20"/>
        </w:rPr>
        <w:t xml:space="preserve">од </w:t>
      </w:r>
      <w:r w:rsidRPr="00C46B10">
        <w:rPr>
          <w:rFonts w:ascii="Arial" w:hAnsi="Arial" w:cs="Arial"/>
          <w:sz w:val="20"/>
        </w:rPr>
        <w:t>непредвидливи отоци. Два типа на ХАЕ се поврзани с</w:t>
      </w:r>
      <w:r w:rsidR="00E2115D">
        <w:rPr>
          <w:rFonts w:ascii="Arial" w:hAnsi="Arial" w:cs="Arial"/>
          <w:sz w:val="20"/>
        </w:rPr>
        <w:t>о недостатокот на циркулирачки</w:t>
      </w:r>
      <w:r w:rsidRPr="00C46B10">
        <w:rPr>
          <w:rFonts w:ascii="Arial" w:hAnsi="Arial" w:cs="Arial"/>
          <w:sz w:val="20"/>
        </w:rPr>
        <w:t xml:space="preserve"> нивоа на Ц1 инхибитор (C1INH):  ХАЕ тип I се кар</w:t>
      </w:r>
      <w:r w:rsidR="00005B93" w:rsidRPr="00C46B10">
        <w:rPr>
          <w:rFonts w:ascii="Arial" w:hAnsi="Arial" w:cs="Arial"/>
          <w:sz w:val="20"/>
        </w:rPr>
        <w:t>актеризира со недоволни нивоа на</w:t>
      </w:r>
      <w:r w:rsidRPr="00C46B10">
        <w:rPr>
          <w:rFonts w:ascii="Arial" w:hAnsi="Arial" w:cs="Arial"/>
          <w:sz w:val="20"/>
        </w:rPr>
        <w:t xml:space="preserve"> протеинот C1INH, додека ХАЕ тип II </w:t>
      </w:r>
      <w:r w:rsidR="00005B93" w:rsidRPr="00C46B10">
        <w:rPr>
          <w:rFonts w:ascii="Arial" w:hAnsi="Arial" w:cs="Arial"/>
          <w:sz w:val="20"/>
        </w:rPr>
        <w:t>се карактеризира со нефункционален C1INH, што резултира во нормални нивоа на протеинот C1INH, но намалена функционална активност на</w:t>
      </w:r>
      <w:r w:rsidR="00005B93">
        <w:rPr>
          <w:rFonts w:ascii="Arial" w:hAnsi="Arial" w:cs="Arial"/>
          <w:sz w:val="18"/>
        </w:rPr>
        <w:t xml:space="preserve"> </w:t>
      </w:r>
      <w:r w:rsidR="00005B93" w:rsidRPr="00C46B10">
        <w:rPr>
          <w:rFonts w:ascii="Arial" w:hAnsi="Arial" w:cs="Arial"/>
          <w:sz w:val="20"/>
        </w:rPr>
        <w:t>истиот</w:t>
      </w:r>
      <w:r w:rsidR="005B0986" w:rsidRPr="00C46B10">
        <w:rPr>
          <w:rFonts w:ascii="Arial" w:hAnsi="Arial" w:cs="Arial"/>
          <w:sz w:val="20"/>
        </w:rPr>
        <w:t>.</w:t>
      </w:r>
      <w:r w:rsidR="00005B93" w:rsidRPr="00C46B10">
        <w:rPr>
          <w:rStyle w:val="EndnoteReference"/>
          <w:rFonts w:ascii="Arial" w:hAnsi="Arial" w:cs="Arial"/>
          <w:sz w:val="20"/>
        </w:rPr>
        <w:endnoteReference w:id="1"/>
      </w:r>
      <w:r w:rsidR="00005B93" w:rsidRPr="00C46B10">
        <w:rPr>
          <w:rFonts w:ascii="Arial" w:hAnsi="Arial" w:cs="Arial"/>
          <w:sz w:val="20"/>
        </w:rPr>
        <w:t xml:space="preserve"> </w:t>
      </w:r>
      <w:r w:rsidR="00005B93" w:rsidRPr="00C46B10">
        <w:rPr>
          <w:rStyle w:val="EndnoteReference"/>
          <w:rFonts w:ascii="Arial" w:hAnsi="Arial" w:cs="Arial"/>
          <w:sz w:val="20"/>
        </w:rPr>
        <w:endnoteReference w:id="2"/>
      </w:r>
      <w:r w:rsidR="005B0986" w:rsidRPr="00C46B10">
        <w:rPr>
          <w:rFonts w:ascii="Arial" w:hAnsi="Arial" w:cs="Arial"/>
          <w:sz w:val="20"/>
        </w:rPr>
        <w:t xml:space="preserve"> И двата типа на ХАЕ, I и II се предизвикани од мутации во генот што го енкодира C1INH (</w:t>
      </w:r>
      <w:r w:rsidR="005B0986" w:rsidRPr="00C46B10">
        <w:rPr>
          <w:rFonts w:ascii="Arial" w:hAnsi="Arial" w:cs="Arial"/>
          <w:i/>
          <w:sz w:val="20"/>
        </w:rPr>
        <w:t>SERPING).</w:t>
      </w:r>
      <w:r w:rsidR="005B0986" w:rsidRPr="00C46B10">
        <w:rPr>
          <w:rStyle w:val="EndnoteReference"/>
          <w:rFonts w:ascii="Arial" w:hAnsi="Arial" w:cs="Arial"/>
          <w:i/>
          <w:sz w:val="20"/>
        </w:rPr>
        <w:endnoteReference w:id="3"/>
      </w:r>
      <w:r w:rsidR="005B0986" w:rsidRPr="00C46B10">
        <w:rPr>
          <w:rFonts w:ascii="Arial" w:hAnsi="Arial" w:cs="Arial"/>
          <w:sz w:val="20"/>
        </w:rPr>
        <w:t xml:space="preserve"> </w:t>
      </w:r>
      <w:r w:rsidR="005B0986" w:rsidRPr="00C46B10">
        <w:rPr>
          <w:rFonts w:ascii="Arial" w:hAnsi="Arial" w:cs="Arial"/>
          <w:i/>
          <w:sz w:val="20"/>
        </w:rPr>
        <w:t xml:space="preserve"> </w:t>
      </w:r>
      <w:r w:rsidR="005B0986" w:rsidRPr="00C46B10">
        <w:rPr>
          <w:rFonts w:ascii="Arial" w:hAnsi="Arial" w:cs="Arial"/>
          <w:sz w:val="20"/>
        </w:rPr>
        <w:t>Проценетата преваленца од типот I и типот II на ХАЕ е 1 на 50.000, што упатува на тоа дека во САД има околу 6000 лица погодени од оваа болест. Третата форма на ХАЕ со нормален C1INH</w:t>
      </w:r>
      <w:r w:rsidR="00C46B10" w:rsidRPr="00C46B10">
        <w:rPr>
          <w:rFonts w:ascii="Arial" w:hAnsi="Arial" w:cs="Arial"/>
          <w:sz w:val="20"/>
        </w:rPr>
        <w:t xml:space="preserve"> беше опишана во 2 000 година. </w:t>
      </w:r>
      <w:r w:rsidR="00C46B10" w:rsidRPr="00C46B10">
        <w:rPr>
          <w:rStyle w:val="EndnoteReference"/>
          <w:rFonts w:ascii="Arial" w:hAnsi="Arial" w:cs="Arial"/>
          <w:sz w:val="20"/>
        </w:rPr>
        <w:endnoteReference w:id="4"/>
      </w:r>
      <w:r w:rsidR="00C46B10">
        <w:rPr>
          <w:rFonts w:ascii="Arial" w:hAnsi="Arial" w:cs="Arial"/>
          <w:sz w:val="20"/>
        </w:rPr>
        <w:t xml:space="preserve"> </w:t>
      </w:r>
      <w:r w:rsidR="00C46B10">
        <w:rPr>
          <w:rStyle w:val="EndnoteReference"/>
          <w:rFonts w:ascii="Arial" w:hAnsi="Arial" w:cs="Arial"/>
          <w:sz w:val="20"/>
        </w:rPr>
        <w:endnoteReference w:id="5"/>
      </w:r>
      <w:r w:rsidR="00C46B10">
        <w:rPr>
          <w:rFonts w:ascii="Arial" w:hAnsi="Arial" w:cs="Arial"/>
          <w:sz w:val="20"/>
        </w:rPr>
        <w:t xml:space="preserve"> Не е позната  превалентноста на ХАЕ со нормален C1INH.</w:t>
      </w:r>
    </w:p>
    <w:p w:rsidR="00875948" w:rsidRDefault="00C46B10" w:rsidP="00875948">
      <w:pPr>
        <w:jc w:val="both"/>
        <w:rPr>
          <w:rFonts w:ascii="Arial" w:hAnsi="Arial" w:cs="Arial"/>
          <w:sz w:val="20"/>
        </w:rPr>
      </w:pPr>
      <w:r>
        <w:rPr>
          <w:rFonts w:ascii="Arial" w:hAnsi="Arial" w:cs="Arial"/>
          <w:sz w:val="20"/>
        </w:rPr>
        <w:tab/>
        <w:t>Нападите на ангиоедем честопати се исклучително сериозни</w:t>
      </w:r>
      <w:r w:rsidR="00496B11">
        <w:rPr>
          <w:rFonts w:ascii="Arial" w:hAnsi="Arial" w:cs="Arial"/>
          <w:sz w:val="20"/>
        </w:rPr>
        <w:t xml:space="preserve"> и </w:t>
      </w:r>
      <w:r w:rsidR="00E2115D">
        <w:rPr>
          <w:rFonts w:ascii="Arial" w:hAnsi="Arial" w:cs="Arial"/>
          <w:sz w:val="20"/>
        </w:rPr>
        <w:t>може да се поврзат со значителн висока</w:t>
      </w:r>
      <w:r w:rsidR="00496B11">
        <w:rPr>
          <w:rFonts w:ascii="Arial" w:hAnsi="Arial" w:cs="Arial"/>
          <w:sz w:val="20"/>
        </w:rPr>
        <w:t xml:space="preserve"> стапка на морбидитет и морталитет. </w:t>
      </w:r>
      <w:r w:rsidR="002B0165">
        <w:rPr>
          <w:rStyle w:val="EndnoteReference"/>
          <w:rFonts w:ascii="Arial" w:hAnsi="Arial" w:cs="Arial"/>
          <w:sz w:val="20"/>
        </w:rPr>
        <w:endnoteReference w:id="6"/>
      </w:r>
      <w:r w:rsidR="002B0165">
        <w:rPr>
          <w:rFonts w:ascii="Arial" w:hAnsi="Arial" w:cs="Arial"/>
          <w:sz w:val="20"/>
        </w:rPr>
        <w:t xml:space="preserve"> </w:t>
      </w:r>
      <w:r w:rsidR="002B0165">
        <w:rPr>
          <w:rStyle w:val="EndnoteReference"/>
          <w:rFonts w:ascii="Arial" w:hAnsi="Arial" w:cs="Arial"/>
          <w:sz w:val="20"/>
        </w:rPr>
        <w:endnoteReference w:id="7"/>
      </w:r>
      <w:r w:rsidR="002B0165">
        <w:rPr>
          <w:rFonts w:ascii="Arial" w:hAnsi="Arial" w:cs="Arial"/>
          <w:sz w:val="20"/>
        </w:rPr>
        <w:t xml:space="preserve"> Како резултат на оваа варијабилност, </w:t>
      </w:r>
      <w:r w:rsidR="00E2115D">
        <w:rPr>
          <w:rFonts w:ascii="Arial" w:hAnsi="Arial" w:cs="Arial"/>
          <w:sz w:val="20"/>
        </w:rPr>
        <w:t>од клучна важност</w:t>
      </w:r>
      <w:r w:rsidR="002B0165">
        <w:rPr>
          <w:rFonts w:ascii="Arial" w:hAnsi="Arial" w:cs="Arial"/>
          <w:sz w:val="20"/>
        </w:rPr>
        <w:t xml:space="preserve"> е докторите и пациентите да работат заедно за да креираат индивидуализирани планови за третман со што се оптимизира грижата за секој пациент. Во текот на изминатите 5 години многу нови лекови беа одобрени во САД за третман на ХАЕ. </w:t>
      </w:r>
      <w:r w:rsidR="00580FDB">
        <w:rPr>
          <w:rStyle w:val="EndnoteReference"/>
          <w:rFonts w:ascii="Arial" w:hAnsi="Arial" w:cs="Arial"/>
          <w:sz w:val="20"/>
        </w:rPr>
        <w:endnoteReference w:id="8"/>
      </w:r>
      <w:r w:rsidR="00092AE3">
        <w:rPr>
          <w:rFonts w:ascii="Arial" w:hAnsi="Arial" w:cs="Arial"/>
          <w:sz w:val="20"/>
        </w:rPr>
        <w:t xml:space="preserve"> </w:t>
      </w:r>
      <w:r w:rsidR="00092AE3">
        <w:rPr>
          <w:rStyle w:val="EndnoteReference"/>
          <w:rFonts w:ascii="Arial" w:hAnsi="Arial" w:cs="Arial"/>
          <w:sz w:val="20"/>
        </w:rPr>
        <w:endnoteReference w:id="9"/>
      </w:r>
      <w:r w:rsidR="00875948">
        <w:rPr>
          <w:rFonts w:ascii="Arial" w:hAnsi="Arial" w:cs="Arial"/>
          <w:sz w:val="20"/>
        </w:rPr>
        <w:t xml:space="preserve"> </w:t>
      </w:r>
      <w:r w:rsidR="00875948">
        <w:rPr>
          <w:rStyle w:val="EndnoteReference"/>
          <w:rFonts w:ascii="Arial" w:hAnsi="Arial" w:cs="Arial"/>
          <w:sz w:val="20"/>
        </w:rPr>
        <w:endnoteReference w:id="10"/>
      </w:r>
      <w:r w:rsidR="00875948">
        <w:rPr>
          <w:rFonts w:ascii="Arial" w:hAnsi="Arial" w:cs="Arial"/>
          <w:sz w:val="20"/>
        </w:rPr>
        <w:t xml:space="preserve"> </w:t>
      </w:r>
      <w:r w:rsidR="00875948">
        <w:rPr>
          <w:rStyle w:val="EndnoteReference"/>
          <w:rFonts w:ascii="Arial" w:hAnsi="Arial" w:cs="Arial"/>
          <w:sz w:val="20"/>
        </w:rPr>
        <w:endnoteReference w:id="11"/>
      </w:r>
      <w:r w:rsidR="00F12EC8">
        <w:rPr>
          <w:rFonts w:ascii="Arial" w:hAnsi="Arial" w:cs="Arial"/>
          <w:sz w:val="20"/>
        </w:rPr>
        <w:t xml:space="preserve"> Лековите што се достапни</w:t>
      </w:r>
      <w:r w:rsidR="00A27A65">
        <w:rPr>
          <w:rFonts w:ascii="Arial" w:hAnsi="Arial" w:cs="Arial"/>
          <w:sz w:val="20"/>
        </w:rPr>
        <w:t xml:space="preserve"> за третман на ХАЕ имаат различни начини на дејство, методи на администрација, и проф</w:t>
      </w:r>
      <w:r w:rsidR="002D56ED">
        <w:rPr>
          <w:rFonts w:ascii="Arial" w:hAnsi="Arial" w:cs="Arial"/>
          <w:sz w:val="20"/>
        </w:rPr>
        <w:t>или од типот ризик / корист. Комплексноста на достапни опции за трет</w:t>
      </w:r>
      <w:r w:rsidR="006B21F2">
        <w:rPr>
          <w:rFonts w:ascii="Arial" w:hAnsi="Arial" w:cs="Arial"/>
          <w:sz w:val="20"/>
        </w:rPr>
        <w:t xml:space="preserve">ман </w:t>
      </w:r>
      <w:r w:rsidR="00E2115D">
        <w:rPr>
          <w:rFonts w:ascii="Arial" w:hAnsi="Arial" w:cs="Arial"/>
          <w:sz w:val="20"/>
        </w:rPr>
        <w:t>во комбинација</w:t>
      </w:r>
      <w:r w:rsidR="006B21F2">
        <w:rPr>
          <w:rFonts w:ascii="Arial" w:hAnsi="Arial" w:cs="Arial"/>
          <w:sz w:val="20"/>
        </w:rPr>
        <w:t xml:space="preserve"> со потенцијалниот</w:t>
      </w:r>
      <w:r w:rsidR="002D56ED">
        <w:rPr>
          <w:rFonts w:ascii="Arial" w:hAnsi="Arial" w:cs="Arial"/>
          <w:sz w:val="20"/>
        </w:rPr>
        <w:t xml:space="preserve"> морбид</w:t>
      </w:r>
      <w:r w:rsidR="006B21F2">
        <w:rPr>
          <w:rFonts w:ascii="Arial" w:hAnsi="Arial" w:cs="Arial"/>
          <w:sz w:val="20"/>
        </w:rPr>
        <w:t>итет</w:t>
      </w:r>
      <w:r w:rsidR="002D56ED">
        <w:rPr>
          <w:rFonts w:ascii="Arial" w:hAnsi="Arial" w:cs="Arial"/>
          <w:sz w:val="20"/>
        </w:rPr>
        <w:t xml:space="preserve"> и морталитет на ХАЕ</w:t>
      </w:r>
      <w:r w:rsidR="004015C7">
        <w:rPr>
          <w:rFonts w:ascii="Arial" w:hAnsi="Arial" w:cs="Arial"/>
          <w:sz w:val="20"/>
        </w:rPr>
        <w:t xml:space="preserve"> ја наметнуваат потребата докторот да развие план заснован на докази со </w:t>
      </w:r>
      <w:r w:rsidR="00E2115D">
        <w:rPr>
          <w:rFonts w:ascii="Arial" w:hAnsi="Arial" w:cs="Arial"/>
          <w:sz w:val="20"/>
        </w:rPr>
        <w:t>што ќе</w:t>
      </w:r>
      <w:r w:rsidR="004015C7">
        <w:rPr>
          <w:rFonts w:ascii="Arial" w:hAnsi="Arial" w:cs="Arial"/>
          <w:sz w:val="20"/>
        </w:rPr>
        <w:t xml:space="preserve"> се рефлектира со</w:t>
      </w:r>
      <w:r w:rsidR="00B065A0">
        <w:rPr>
          <w:rFonts w:ascii="Arial" w:hAnsi="Arial" w:cs="Arial"/>
          <w:sz w:val="20"/>
        </w:rPr>
        <w:t>одветен стандард на медицинска помош</w:t>
      </w:r>
      <w:r w:rsidR="004015C7">
        <w:rPr>
          <w:rFonts w:ascii="Arial" w:hAnsi="Arial" w:cs="Arial"/>
          <w:sz w:val="20"/>
        </w:rPr>
        <w:t>.</w:t>
      </w:r>
      <w:r w:rsidR="00B32B3F">
        <w:rPr>
          <w:rFonts w:ascii="Arial" w:hAnsi="Arial" w:cs="Arial"/>
          <w:sz w:val="20"/>
        </w:rPr>
        <w:t xml:space="preserve"> За да се решат овие проблеми, Медицинскиот советодавен одбор (МСО) на Здружението за хередитарен ангиоедем на САД (ХАЕА) разви пакет препораки за оптимизирано управување со пациентите со ХАЕ како резултат на недостаток на C1INH. </w:t>
      </w:r>
      <w:r w:rsidR="00B32B3F">
        <w:rPr>
          <w:rFonts w:ascii="Arial" w:hAnsi="Arial" w:cs="Arial"/>
          <w:sz w:val="20"/>
        </w:rPr>
        <w:tab/>
      </w:r>
    </w:p>
    <w:p w:rsidR="00B32B3F" w:rsidRDefault="00B32B3F" w:rsidP="00B32B3F">
      <w:pPr>
        <w:ind w:firstLine="720"/>
        <w:jc w:val="both"/>
        <w:rPr>
          <w:rFonts w:ascii="Arial" w:hAnsi="Arial"/>
          <w:sz w:val="20"/>
        </w:rPr>
      </w:pPr>
      <w:r>
        <w:rPr>
          <w:rFonts w:ascii="Arial" w:hAnsi="Arial" w:cs="Arial"/>
          <w:sz w:val="20"/>
        </w:rPr>
        <w:lastRenderedPageBreak/>
        <w:t xml:space="preserve">Потребно е да се постави точна дијагноза </w:t>
      </w:r>
      <w:r w:rsidR="00704C00">
        <w:rPr>
          <w:rFonts w:ascii="Arial" w:hAnsi="Arial" w:cs="Arial"/>
          <w:sz w:val="20"/>
        </w:rPr>
        <w:t>з</w:t>
      </w:r>
      <w:r>
        <w:rPr>
          <w:rFonts w:ascii="Arial" w:hAnsi="Arial" w:cs="Arial"/>
          <w:sz w:val="20"/>
        </w:rPr>
        <w:t xml:space="preserve">а ХАЕ како резултат на недостатокот на C1INH пред да станат релевантни опциите за третман. Не </w:t>
      </w:r>
      <w:r w:rsidR="00704C00">
        <w:rPr>
          <w:rFonts w:ascii="Arial" w:hAnsi="Arial" w:cs="Arial"/>
          <w:sz w:val="20"/>
        </w:rPr>
        <w:t xml:space="preserve">е за </w:t>
      </w:r>
      <w:r>
        <w:rPr>
          <w:rFonts w:ascii="Arial" w:hAnsi="Arial" w:cs="Arial"/>
          <w:sz w:val="20"/>
        </w:rPr>
        <w:t>изненадува</w:t>
      </w:r>
      <w:r w:rsidR="00704C00">
        <w:rPr>
          <w:rFonts w:ascii="Arial" w:hAnsi="Arial" w:cs="Arial"/>
          <w:sz w:val="20"/>
        </w:rPr>
        <w:t>ње</w:t>
      </w:r>
      <w:r>
        <w:rPr>
          <w:rFonts w:ascii="Arial" w:hAnsi="Arial" w:cs="Arial"/>
          <w:sz w:val="20"/>
        </w:rPr>
        <w:t xml:space="preserve"> фактот дека бројот на смртни случаи поради ХАЕ  е далеку повисок кај пациентите кај кои не е поставена точна дијагноза отколку кај оние кај кои е поставена.</w:t>
      </w:r>
      <w:r>
        <w:rPr>
          <w:rStyle w:val="EndnoteReference"/>
          <w:rFonts w:ascii="Arial" w:hAnsi="Arial" w:cs="Arial"/>
          <w:sz w:val="20"/>
        </w:rPr>
        <w:endnoteReference w:id="12"/>
      </w:r>
      <w:r w:rsidR="00B47C92">
        <w:rPr>
          <w:rFonts w:ascii="Arial" w:hAnsi="Arial" w:cs="Arial"/>
          <w:sz w:val="20"/>
        </w:rPr>
        <w:t xml:space="preserve"> Иако во оваа статија не е опфатена дијагностиката на ХАЕ</w:t>
      </w:r>
      <w:r w:rsidR="00704C00">
        <w:rPr>
          <w:rFonts w:ascii="Arial" w:hAnsi="Arial" w:cs="Arial"/>
          <w:sz w:val="20"/>
        </w:rPr>
        <w:t>, сепак тоа с</w:t>
      </w:r>
      <w:r w:rsidR="000C4DD8">
        <w:rPr>
          <w:rFonts w:ascii="Arial" w:hAnsi="Arial" w:cs="Arial"/>
          <w:sz w:val="20"/>
        </w:rPr>
        <w:t xml:space="preserve">е </w:t>
      </w:r>
      <w:r w:rsidR="00704C00">
        <w:rPr>
          <w:rFonts w:ascii="Arial" w:hAnsi="Arial" w:cs="Arial"/>
          <w:sz w:val="20"/>
        </w:rPr>
        <w:t>разгледа</w:t>
      </w:r>
      <w:r w:rsidR="000C4DD8" w:rsidRPr="00103DEB">
        <w:rPr>
          <w:rFonts w:ascii="Arial" w:hAnsi="Arial" w:cs="Arial"/>
          <w:sz w:val="20"/>
        </w:rPr>
        <w:t xml:space="preserve"> во неодамнешни статии. </w:t>
      </w:r>
      <w:r w:rsidR="000C4DD8" w:rsidRPr="00103DEB">
        <w:rPr>
          <w:rFonts w:ascii="Arial" w:hAnsi="Arial" w:cs="Arial"/>
          <w:sz w:val="20"/>
          <w:vertAlign w:val="superscript"/>
        </w:rPr>
        <w:t>3</w:t>
      </w:r>
      <w:r w:rsidR="000C4DD8" w:rsidRPr="00103DEB">
        <w:rPr>
          <w:rFonts w:ascii="Arial" w:hAnsi="Arial" w:cs="Arial"/>
          <w:sz w:val="20"/>
        </w:rPr>
        <w:t xml:space="preserve"> </w:t>
      </w:r>
      <w:r w:rsidR="000C4DD8" w:rsidRPr="00103DEB">
        <w:rPr>
          <w:rStyle w:val="EndnoteReference"/>
          <w:rFonts w:ascii="Arial" w:hAnsi="Arial" w:cs="Arial"/>
          <w:sz w:val="20"/>
        </w:rPr>
        <w:endnoteReference w:id="13"/>
      </w:r>
      <w:r w:rsidR="00D24621" w:rsidRPr="00103DEB">
        <w:rPr>
          <w:rFonts w:ascii="Arial" w:hAnsi="Arial" w:cs="Arial"/>
          <w:sz w:val="20"/>
        </w:rPr>
        <w:t xml:space="preserve"> </w:t>
      </w:r>
      <w:r w:rsidR="008805BA" w:rsidRPr="00103DEB">
        <w:rPr>
          <w:rStyle w:val="EndnoteReference"/>
          <w:rFonts w:ascii="Arial" w:hAnsi="Arial" w:cs="Arial"/>
          <w:sz w:val="20"/>
        </w:rPr>
        <w:endnoteReference w:id="14"/>
      </w:r>
      <w:r w:rsidR="008805BA" w:rsidRPr="00103DEB">
        <w:rPr>
          <w:rFonts w:ascii="Arial" w:hAnsi="Arial" w:cs="Arial"/>
          <w:sz w:val="20"/>
        </w:rPr>
        <w:t xml:space="preserve"> </w:t>
      </w:r>
      <w:r w:rsidR="00103DEB" w:rsidRPr="00103DEB">
        <w:rPr>
          <w:rFonts w:ascii="Arial" w:hAnsi="Arial" w:cs="Arial"/>
          <w:sz w:val="20"/>
        </w:rPr>
        <w:t>Беа објавени н</w:t>
      </w:r>
      <w:r w:rsidR="008805BA" w:rsidRPr="00103DEB">
        <w:rPr>
          <w:rFonts w:ascii="Arial" w:hAnsi="Arial" w:cs="Arial"/>
          <w:sz w:val="20"/>
        </w:rPr>
        <w:t xml:space="preserve">еколку меѓународни трудови во кои </w:t>
      </w:r>
      <w:r w:rsidR="00103DEB" w:rsidRPr="00103DEB">
        <w:rPr>
          <w:rFonts w:ascii="Arial" w:hAnsi="Arial" w:cs="Arial"/>
          <w:sz w:val="20"/>
        </w:rPr>
        <w:t xml:space="preserve">има консензус. </w:t>
      </w:r>
      <w:r w:rsidR="00103DEB" w:rsidRPr="00103DEB">
        <w:rPr>
          <w:rFonts w:ascii="Arial" w:hAnsi="Arial" w:cs="Arial"/>
          <w:sz w:val="20"/>
          <w:vertAlign w:val="superscript"/>
        </w:rPr>
        <w:t>13</w:t>
      </w:r>
      <w:r w:rsidR="00103DEB">
        <w:rPr>
          <w:rFonts w:ascii="Arial" w:hAnsi="Arial" w:cs="Arial"/>
          <w:sz w:val="20"/>
          <w:vertAlign w:val="superscript"/>
        </w:rPr>
        <w:t xml:space="preserve"> </w:t>
      </w:r>
      <w:r w:rsidR="00103DEB" w:rsidRPr="00103DEB">
        <w:rPr>
          <w:rFonts w:ascii="Arial" w:hAnsi="Arial" w:cs="Arial"/>
          <w:sz w:val="20"/>
          <w:vertAlign w:val="superscript"/>
        </w:rPr>
        <w:t>14</w:t>
      </w:r>
      <w:r w:rsidR="00103DEB">
        <w:rPr>
          <w:rFonts w:ascii="Arial" w:hAnsi="Arial" w:cs="Arial"/>
          <w:sz w:val="20"/>
          <w:vertAlign w:val="superscript"/>
        </w:rPr>
        <w:t xml:space="preserve"> </w:t>
      </w:r>
      <w:r w:rsidR="00103DEB">
        <w:rPr>
          <w:rStyle w:val="EndnoteReference"/>
          <w:rFonts w:ascii="Arial" w:hAnsi="Arial" w:cs="Arial"/>
          <w:sz w:val="20"/>
        </w:rPr>
        <w:endnoteReference w:id="15"/>
      </w:r>
      <w:r w:rsidR="00103DEB">
        <w:rPr>
          <w:rFonts w:ascii="Arial" w:hAnsi="Arial" w:cs="Arial"/>
          <w:sz w:val="20"/>
          <w:vertAlign w:val="superscript"/>
        </w:rPr>
        <w:t xml:space="preserve"> </w:t>
      </w:r>
      <w:r w:rsidR="00103DEB">
        <w:rPr>
          <w:rStyle w:val="EndnoteReference"/>
          <w:rFonts w:ascii="Arial" w:hAnsi="Arial" w:cs="Arial"/>
          <w:sz w:val="20"/>
        </w:rPr>
        <w:endnoteReference w:id="16"/>
      </w:r>
      <w:r w:rsidR="00103DEB">
        <w:rPr>
          <w:rFonts w:ascii="Arial" w:hAnsi="Arial" w:cs="Arial"/>
          <w:sz w:val="20"/>
          <w:vertAlign w:val="superscript"/>
        </w:rPr>
        <w:t xml:space="preserve"> </w:t>
      </w:r>
      <w:r w:rsidR="00103DEB">
        <w:rPr>
          <w:rStyle w:val="EndnoteReference"/>
          <w:rFonts w:ascii="Arial" w:hAnsi="Arial" w:cs="Arial"/>
          <w:sz w:val="20"/>
        </w:rPr>
        <w:endnoteReference w:id="17"/>
      </w:r>
      <w:r w:rsidR="00103DEB" w:rsidRPr="00103DEB">
        <w:rPr>
          <w:rFonts w:ascii="Arial" w:hAnsi="Arial" w:cs="Arial"/>
          <w:sz w:val="20"/>
          <w:vertAlign w:val="superscript"/>
        </w:rPr>
        <w:t xml:space="preserve"> </w:t>
      </w:r>
      <w:r w:rsidR="00103DEB" w:rsidRPr="00103DEB">
        <w:rPr>
          <w:rFonts w:ascii="Arial" w:hAnsi="Arial"/>
          <w:sz w:val="20"/>
        </w:rPr>
        <w:t>Дијагнозата и третманот на ХАЕ</w:t>
      </w:r>
      <w:r w:rsidR="00103DEB">
        <w:rPr>
          <w:rFonts w:ascii="Arial" w:hAnsi="Arial"/>
          <w:sz w:val="20"/>
        </w:rPr>
        <w:t xml:space="preserve"> со нормални вредности на C1INH (понекогаш наречен ХАЕ тип III) е област која не е многу испитана. Неодамна се разви и објави посебен пакет инструкции и препораки за ХАЕ со нормални вредности на C1INH.</w:t>
      </w:r>
      <w:r w:rsidR="001D2D52">
        <w:rPr>
          <w:rFonts w:ascii="Arial" w:hAnsi="Arial"/>
          <w:sz w:val="20"/>
        </w:rPr>
        <w:t xml:space="preserve"> </w:t>
      </w:r>
      <w:r w:rsidR="00C94C85">
        <w:rPr>
          <w:rStyle w:val="EndnoteReference"/>
          <w:rFonts w:ascii="Arial" w:hAnsi="Arial"/>
          <w:sz w:val="20"/>
        </w:rPr>
        <w:endnoteReference w:id="18"/>
      </w:r>
      <w:r w:rsidR="00A75192">
        <w:rPr>
          <w:rFonts w:ascii="Arial" w:hAnsi="Arial"/>
          <w:sz w:val="20"/>
        </w:rPr>
        <w:t xml:space="preserve"> Препораките презентирани овде се однесуваат само на ХАЕ што е резултат на недостатокот на C1INH и ќе го одразат актуелниот модерен третман на ХАЕ како резултат на недостатокот на C1INH во Соединетите Американски Држави.</w:t>
      </w:r>
    </w:p>
    <w:p w:rsidR="00A75192" w:rsidRDefault="00A75192" w:rsidP="00A75192">
      <w:pPr>
        <w:jc w:val="both"/>
        <w:rPr>
          <w:rFonts w:ascii="Arial" w:hAnsi="Arial"/>
          <w:b/>
          <w:sz w:val="28"/>
        </w:rPr>
      </w:pPr>
      <w:r w:rsidRPr="00A75192">
        <w:rPr>
          <w:rFonts w:ascii="Arial" w:hAnsi="Arial"/>
          <w:b/>
          <w:sz w:val="28"/>
        </w:rPr>
        <w:t>Методи</w:t>
      </w:r>
    </w:p>
    <w:p w:rsidR="00A75192" w:rsidRDefault="00A75192" w:rsidP="00A75192">
      <w:pPr>
        <w:jc w:val="both"/>
        <w:rPr>
          <w:rFonts w:ascii="Arial" w:hAnsi="Arial"/>
          <w:sz w:val="20"/>
        </w:rPr>
      </w:pPr>
      <w:r w:rsidRPr="006E39F2">
        <w:rPr>
          <w:rFonts w:ascii="Arial" w:hAnsi="Arial"/>
          <w:sz w:val="20"/>
        </w:rPr>
        <w:tab/>
        <w:t xml:space="preserve">ХАЕА и МСО се состојат од десет </w:t>
      </w:r>
      <w:r w:rsidR="006E39F2" w:rsidRPr="006E39F2">
        <w:rPr>
          <w:rFonts w:ascii="Arial" w:hAnsi="Arial"/>
          <w:sz w:val="20"/>
        </w:rPr>
        <w:t>доктори кои работа</w:t>
      </w:r>
      <w:r w:rsidR="00704C00">
        <w:rPr>
          <w:rFonts w:ascii="Arial" w:hAnsi="Arial"/>
          <w:sz w:val="20"/>
        </w:rPr>
        <w:t>т</w:t>
      </w:r>
      <w:r w:rsidR="006E39F2" w:rsidRPr="006E39F2">
        <w:rPr>
          <w:rFonts w:ascii="Arial" w:hAnsi="Arial"/>
          <w:sz w:val="20"/>
        </w:rPr>
        <w:t xml:space="preserve"> на клиника</w:t>
      </w:r>
      <w:r w:rsidR="006E39F2">
        <w:rPr>
          <w:rFonts w:ascii="Arial" w:hAnsi="Arial"/>
          <w:sz w:val="20"/>
        </w:rPr>
        <w:t xml:space="preserve">, при што секој од нив третира голем број пациенти со ХАЕ. Во 2011 година, МСО започна да работи на дефинирање на препораките за третман на ХАЕ. Првичниот нацрт на овие препораки беше постиран на веб сајтот на ХАЕА на САД. </w:t>
      </w:r>
      <w:r w:rsidRPr="006E39F2">
        <w:rPr>
          <w:rFonts w:ascii="Arial" w:hAnsi="Arial"/>
          <w:sz w:val="20"/>
        </w:rPr>
        <w:t xml:space="preserve"> </w:t>
      </w:r>
      <w:r w:rsidR="00CB6B3B">
        <w:rPr>
          <w:rFonts w:ascii="Arial" w:hAnsi="Arial"/>
          <w:sz w:val="20"/>
        </w:rPr>
        <w:t>Препораки</w:t>
      </w:r>
      <w:r w:rsidR="00704C00">
        <w:rPr>
          <w:rFonts w:ascii="Arial" w:hAnsi="Arial"/>
          <w:sz w:val="20"/>
        </w:rPr>
        <w:t>те се поделени во 4 делови (1) План за управување, (2) Т</w:t>
      </w:r>
      <w:r w:rsidR="00CB6B3B">
        <w:rPr>
          <w:rFonts w:ascii="Arial" w:hAnsi="Arial"/>
          <w:sz w:val="20"/>
        </w:rPr>
        <w:t>ретман</w:t>
      </w:r>
      <w:r w:rsidR="00704C00">
        <w:rPr>
          <w:rFonts w:ascii="Arial" w:hAnsi="Arial"/>
          <w:sz w:val="20"/>
        </w:rPr>
        <w:t xml:space="preserve"> на нападите со ангиоедем, (3) Профилактички третман и (4) С</w:t>
      </w:r>
      <w:r w:rsidR="00CB6B3B">
        <w:rPr>
          <w:rFonts w:ascii="Arial" w:hAnsi="Arial"/>
          <w:sz w:val="20"/>
        </w:rPr>
        <w:t xml:space="preserve">ледење пациенти. За да се обезбеди препораките да се засноваат </w:t>
      </w:r>
      <w:r w:rsidR="00704C00">
        <w:rPr>
          <w:rFonts w:ascii="Arial" w:hAnsi="Arial"/>
          <w:sz w:val="20"/>
        </w:rPr>
        <w:t xml:space="preserve">врз </w:t>
      </w:r>
      <w:r w:rsidR="00CB6B3B">
        <w:rPr>
          <w:rFonts w:ascii="Arial" w:hAnsi="Arial"/>
          <w:sz w:val="20"/>
        </w:rPr>
        <w:t>најдобрите достапни подат</w:t>
      </w:r>
      <w:r w:rsidR="00704C00">
        <w:rPr>
          <w:rFonts w:ascii="Arial" w:hAnsi="Arial"/>
          <w:sz w:val="20"/>
        </w:rPr>
        <w:t>оци, се анализираа трудови</w:t>
      </w:r>
      <w:r w:rsidR="00CB6B3B">
        <w:rPr>
          <w:rFonts w:ascii="Arial" w:hAnsi="Arial"/>
          <w:sz w:val="20"/>
        </w:rPr>
        <w:t xml:space="preserve"> за да се идентификуваат обја</w:t>
      </w:r>
      <w:r w:rsidR="00704C00">
        <w:rPr>
          <w:rFonts w:ascii="Arial" w:hAnsi="Arial"/>
          <w:sz w:val="20"/>
        </w:rPr>
        <w:t>вените статии за</w:t>
      </w:r>
      <w:r w:rsidR="00CB6B3B">
        <w:rPr>
          <w:rFonts w:ascii="Arial" w:hAnsi="Arial"/>
          <w:sz w:val="20"/>
        </w:rPr>
        <w:t xml:space="preserve"> третман на ХАЕ или консензус и/или инструкции и/или препораки за третман на ХАЕ. </w:t>
      </w:r>
      <w:r w:rsidR="007E3E5D">
        <w:rPr>
          <w:rFonts w:ascii="Arial" w:hAnsi="Arial"/>
          <w:sz w:val="20"/>
        </w:rPr>
        <w:t>Во 2013 година ХАЕА на САД</w:t>
      </w:r>
      <w:r w:rsidR="005911E1">
        <w:rPr>
          <w:rFonts w:ascii="Arial" w:hAnsi="Arial"/>
          <w:sz w:val="20"/>
        </w:rPr>
        <w:t xml:space="preserve"> заседаваше со состанок во кои беа вклучени членови на МСО за ХАЕ, како и со неколку претставници на пациенти за да се прегледа првичниот нацрт препораки, коментари на првичниот нацрт и </w:t>
      </w:r>
      <w:r w:rsidR="00704C00">
        <w:rPr>
          <w:rFonts w:ascii="Arial" w:hAnsi="Arial"/>
          <w:sz w:val="20"/>
        </w:rPr>
        <w:t>трудовите</w:t>
      </w:r>
      <w:r w:rsidR="005911E1">
        <w:rPr>
          <w:rFonts w:ascii="Arial" w:hAnsi="Arial"/>
          <w:sz w:val="20"/>
        </w:rPr>
        <w:t xml:space="preserve">. </w:t>
      </w:r>
      <w:r w:rsidR="005911E1">
        <w:rPr>
          <w:rFonts w:ascii="Arial" w:hAnsi="Arial"/>
          <w:sz w:val="20"/>
        </w:rPr>
        <w:lastRenderedPageBreak/>
        <w:t xml:space="preserve">Пред состанокот, се прегледаа нацрти на сите овие </w:t>
      </w:r>
      <w:r w:rsidR="00704C00">
        <w:rPr>
          <w:rFonts w:ascii="Arial" w:hAnsi="Arial"/>
          <w:sz w:val="20"/>
        </w:rPr>
        <w:t>делови и релевантните трудови</w:t>
      </w:r>
      <w:r w:rsidR="005911E1">
        <w:rPr>
          <w:rFonts w:ascii="Arial" w:hAnsi="Arial"/>
          <w:sz w:val="20"/>
        </w:rPr>
        <w:t xml:space="preserve"> од страна на членовите на МСО, кои ја водеа дискусијата за т</w:t>
      </w:r>
      <w:r w:rsidR="00704C00">
        <w:rPr>
          <w:rFonts w:ascii="Arial" w:hAnsi="Arial"/>
          <w:sz w:val="20"/>
        </w:rPr>
        <w:t>ој дел од</w:t>
      </w:r>
      <w:r w:rsidR="005911E1">
        <w:rPr>
          <w:rFonts w:ascii="Arial" w:hAnsi="Arial"/>
          <w:sz w:val="20"/>
        </w:rPr>
        <w:t xml:space="preserve"> состанокот. Препораките го одразуваат едногласниот консензус на МСО и на </w:t>
      </w:r>
      <w:r w:rsidR="00704C00">
        <w:rPr>
          <w:rFonts w:ascii="Arial" w:hAnsi="Arial"/>
          <w:sz w:val="20"/>
        </w:rPr>
        <w:t>раководството</w:t>
      </w:r>
      <w:r w:rsidR="005911E1">
        <w:rPr>
          <w:rFonts w:ascii="Arial" w:hAnsi="Arial"/>
          <w:sz w:val="20"/>
        </w:rPr>
        <w:t xml:space="preserve"> на ХАЕА на САД. </w:t>
      </w:r>
    </w:p>
    <w:p w:rsidR="00C62B2A" w:rsidRDefault="00C62B2A" w:rsidP="00A75192">
      <w:pPr>
        <w:jc w:val="both"/>
        <w:rPr>
          <w:rFonts w:ascii="Arial" w:hAnsi="Arial"/>
          <w:b/>
          <w:sz w:val="20"/>
        </w:rPr>
      </w:pPr>
      <w:r>
        <w:rPr>
          <w:rFonts w:ascii="Arial" w:hAnsi="Arial"/>
          <w:b/>
          <w:sz w:val="20"/>
        </w:rPr>
        <w:t>Препораки за управување со ХАЕ</w:t>
      </w:r>
    </w:p>
    <w:p w:rsidR="00C62B2A" w:rsidRDefault="00C62B2A" w:rsidP="0053349C">
      <w:pPr>
        <w:spacing w:after="0"/>
        <w:jc w:val="both"/>
        <w:rPr>
          <w:rFonts w:ascii="Arial" w:hAnsi="Arial"/>
          <w:sz w:val="20"/>
        </w:rPr>
      </w:pPr>
      <w:r>
        <w:rPr>
          <w:rFonts w:ascii="Arial" w:hAnsi="Arial"/>
          <w:b/>
          <w:sz w:val="20"/>
        </w:rPr>
        <w:t xml:space="preserve">Дел 1. План за управување со ХАЕ. </w:t>
      </w:r>
      <w:r>
        <w:rPr>
          <w:rFonts w:ascii="Arial" w:hAnsi="Arial"/>
          <w:sz w:val="20"/>
        </w:rPr>
        <w:t>Општите цели на третманот на ХАЕ се состојат во тоа да се намали морбид</w:t>
      </w:r>
      <w:r w:rsidR="006B21F2">
        <w:rPr>
          <w:rFonts w:ascii="Arial" w:hAnsi="Arial"/>
          <w:sz w:val="20"/>
        </w:rPr>
        <w:t>итет</w:t>
      </w:r>
      <w:r>
        <w:rPr>
          <w:rFonts w:ascii="Arial" w:hAnsi="Arial"/>
          <w:sz w:val="20"/>
        </w:rPr>
        <w:t xml:space="preserve"> и морталитетот и да се врати нормалниот квалитет на животот на пациентот. За да се постигнат овие цели, мора да се развие и имплементира индивидуализиран сеопфатен план за управување. МСО на ХАЕ на САД ги препорачува следните компоненти на планот за третман за секој пациент. </w:t>
      </w:r>
    </w:p>
    <w:p w:rsidR="0053349C" w:rsidRPr="00C62B2A" w:rsidRDefault="0053349C" w:rsidP="0053349C">
      <w:pPr>
        <w:spacing w:after="0"/>
        <w:jc w:val="both"/>
        <w:rPr>
          <w:rFonts w:ascii="Arial" w:hAnsi="Arial"/>
          <w:sz w:val="20"/>
        </w:rPr>
      </w:pPr>
    </w:p>
    <w:p w:rsidR="0053349C" w:rsidRPr="0053349C" w:rsidRDefault="0053349C" w:rsidP="0053349C">
      <w:pPr>
        <w:pStyle w:val="ListParagraph"/>
        <w:numPr>
          <w:ilvl w:val="1"/>
          <w:numId w:val="1"/>
        </w:numPr>
        <w:spacing w:after="0"/>
        <w:jc w:val="both"/>
        <w:rPr>
          <w:rFonts w:ascii="Arial" w:hAnsi="Arial"/>
          <w:i/>
          <w:sz w:val="20"/>
        </w:rPr>
      </w:pPr>
      <w:r w:rsidRPr="00552ED5">
        <w:rPr>
          <w:rFonts w:ascii="Arial" w:hAnsi="Arial"/>
          <w:b/>
          <w:i/>
          <w:sz w:val="20"/>
        </w:rPr>
        <w:t>Доктор експерт</w:t>
      </w:r>
      <w:r w:rsidRPr="0053349C">
        <w:rPr>
          <w:rFonts w:ascii="Arial" w:hAnsi="Arial"/>
          <w:sz w:val="20"/>
        </w:rPr>
        <w:t xml:space="preserve">. </w:t>
      </w:r>
      <w:r>
        <w:rPr>
          <w:rFonts w:ascii="Arial" w:hAnsi="Arial"/>
          <w:sz w:val="20"/>
        </w:rPr>
        <w:t xml:space="preserve">Поради комплексноста </w:t>
      </w:r>
    </w:p>
    <w:p w:rsidR="00A75192" w:rsidRDefault="0053349C" w:rsidP="0053349C">
      <w:pPr>
        <w:spacing w:after="0"/>
        <w:jc w:val="both"/>
        <w:rPr>
          <w:rFonts w:ascii="Arial" w:hAnsi="Arial"/>
          <w:sz w:val="20"/>
        </w:rPr>
      </w:pPr>
      <w:r w:rsidRPr="0053349C">
        <w:rPr>
          <w:rFonts w:ascii="Arial" w:hAnsi="Arial"/>
          <w:sz w:val="20"/>
        </w:rPr>
        <w:t>и варијабилноста на ХА</w:t>
      </w:r>
      <w:r>
        <w:rPr>
          <w:rFonts w:ascii="Arial" w:hAnsi="Arial"/>
          <w:sz w:val="20"/>
        </w:rPr>
        <w:t>Е и третманот, топло се препорачува секој пациент со ХАЕ да го следи доктор кој (1) ја познава состојб</w:t>
      </w:r>
      <w:r w:rsidR="00C75731">
        <w:rPr>
          <w:rFonts w:ascii="Arial" w:hAnsi="Arial"/>
          <w:sz w:val="20"/>
        </w:rPr>
        <w:t>ата, (2) искусен е за следење</w:t>
      </w:r>
      <w:r>
        <w:rPr>
          <w:rFonts w:ascii="Arial" w:hAnsi="Arial"/>
          <w:sz w:val="20"/>
        </w:rPr>
        <w:t xml:space="preserve"> пациенти со ХАЕ и (3) кој е запознаен со сите опции за третман на ХАЕ. Овие доктори експерти треба да работат со нивните пациенти за да обезбедат дефиниран и индивидуализиран план за управување со ХАЕ и исто така треба активно да ја координираат грижата на пациентите со другите здравствени служби.</w:t>
      </w:r>
      <w:r w:rsidR="00953B12">
        <w:rPr>
          <w:rFonts w:ascii="Arial" w:hAnsi="Arial"/>
          <w:sz w:val="20"/>
          <w:vertAlign w:val="superscript"/>
        </w:rPr>
        <w:t xml:space="preserve">16 </w:t>
      </w:r>
      <w:r w:rsidR="00953B12" w:rsidRPr="00953B12">
        <w:rPr>
          <w:rFonts w:ascii="Arial" w:hAnsi="Arial"/>
          <w:sz w:val="20"/>
        </w:rPr>
        <w:t>Доктор</w:t>
      </w:r>
      <w:r w:rsidR="001C7696">
        <w:rPr>
          <w:rFonts w:ascii="Arial" w:hAnsi="Arial"/>
          <w:sz w:val="20"/>
        </w:rPr>
        <w:t>от</w:t>
      </w:r>
      <w:r w:rsidR="00953B12" w:rsidRPr="00953B12">
        <w:rPr>
          <w:rFonts w:ascii="Arial" w:hAnsi="Arial"/>
          <w:sz w:val="20"/>
        </w:rPr>
        <w:t xml:space="preserve"> координ</w:t>
      </w:r>
      <w:r w:rsidR="001C7696">
        <w:rPr>
          <w:rFonts w:ascii="Arial" w:hAnsi="Arial"/>
          <w:sz w:val="20"/>
        </w:rPr>
        <w:t>атор</w:t>
      </w:r>
      <w:r w:rsidR="00953B12" w:rsidRPr="00953B12">
        <w:rPr>
          <w:rFonts w:ascii="Arial" w:hAnsi="Arial"/>
          <w:sz w:val="20"/>
        </w:rPr>
        <w:t xml:space="preserve"> </w:t>
      </w:r>
      <w:r w:rsidR="00953B12">
        <w:rPr>
          <w:rFonts w:ascii="Arial" w:hAnsi="Arial"/>
          <w:sz w:val="20"/>
        </w:rPr>
        <w:t xml:space="preserve">треба да работи со пациентот и со неговото или нејзиното семејство, со неговите или нејзините служби од примарното здравство </w:t>
      </w:r>
      <w:r w:rsidR="001C7696">
        <w:rPr>
          <w:rFonts w:ascii="Arial" w:hAnsi="Arial"/>
          <w:sz w:val="20"/>
        </w:rPr>
        <w:t>и одделот за б</w:t>
      </w:r>
      <w:r w:rsidR="00BD1A95">
        <w:rPr>
          <w:rFonts w:ascii="Arial" w:hAnsi="Arial"/>
          <w:sz w:val="20"/>
        </w:rPr>
        <w:t xml:space="preserve">рза помош </w:t>
      </w:r>
      <w:r w:rsidR="001C7696">
        <w:rPr>
          <w:rFonts w:ascii="Arial" w:hAnsi="Arial"/>
          <w:sz w:val="20"/>
        </w:rPr>
        <w:t xml:space="preserve">или болницата </w:t>
      </w:r>
      <w:r w:rsidR="00BD1A95">
        <w:rPr>
          <w:rFonts w:ascii="Arial" w:hAnsi="Arial"/>
          <w:sz w:val="20"/>
        </w:rPr>
        <w:t xml:space="preserve">во локалната заедница </w:t>
      </w:r>
      <w:r w:rsidR="001C7696">
        <w:rPr>
          <w:rFonts w:ascii="Arial" w:hAnsi="Arial"/>
          <w:sz w:val="20"/>
        </w:rPr>
        <w:t xml:space="preserve">за да обезбеди јасно да се пренесат компонентите од планот за третман. МСО на ХАЕА на САД исто така препорачува експертот доктор координатор да го следи пациентот на </w:t>
      </w:r>
      <w:r w:rsidR="00C75731">
        <w:rPr>
          <w:rFonts w:ascii="Arial" w:hAnsi="Arial"/>
          <w:sz w:val="20"/>
        </w:rPr>
        <w:t>редовни</w:t>
      </w:r>
      <w:r w:rsidR="001C7696">
        <w:rPr>
          <w:rFonts w:ascii="Arial" w:hAnsi="Arial"/>
          <w:sz w:val="20"/>
        </w:rPr>
        <w:t xml:space="preserve"> посети на периодична основа за да ја следи ефикасноста од третманот и </w:t>
      </w:r>
      <w:r w:rsidR="002655CB">
        <w:rPr>
          <w:rFonts w:ascii="Arial" w:hAnsi="Arial"/>
          <w:sz w:val="20"/>
        </w:rPr>
        <w:t>несаканите ефекти. Редовните посети со докторот експерт треба да се одвиваат најмалку еднаш годишно или почесто, во зав</w:t>
      </w:r>
      <w:r w:rsidR="00C75731">
        <w:rPr>
          <w:rFonts w:ascii="Arial" w:hAnsi="Arial"/>
          <w:sz w:val="20"/>
        </w:rPr>
        <w:t>исност од клиничкиот тек (Види Д</w:t>
      </w:r>
      <w:r w:rsidR="002655CB">
        <w:rPr>
          <w:rFonts w:ascii="Arial" w:hAnsi="Arial"/>
          <w:sz w:val="20"/>
        </w:rPr>
        <w:t>ел 4. Следење пациент).</w:t>
      </w:r>
    </w:p>
    <w:p w:rsidR="00D702B5" w:rsidRDefault="00924A8A" w:rsidP="00D702B5">
      <w:pPr>
        <w:pStyle w:val="ListParagraph"/>
        <w:numPr>
          <w:ilvl w:val="1"/>
          <w:numId w:val="1"/>
        </w:numPr>
        <w:spacing w:after="0"/>
        <w:jc w:val="both"/>
        <w:rPr>
          <w:rFonts w:ascii="Arial" w:hAnsi="Arial"/>
          <w:i/>
          <w:sz w:val="20"/>
        </w:rPr>
      </w:pPr>
      <w:r>
        <w:rPr>
          <w:rFonts w:ascii="Arial" w:hAnsi="Arial"/>
          <w:b/>
          <w:i/>
          <w:sz w:val="20"/>
        </w:rPr>
        <w:lastRenderedPageBreak/>
        <w:t>Едукација</w:t>
      </w:r>
      <w:r w:rsidR="00F23392" w:rsidRPr="00D702B5">
        <w:rPr>
          <w:rFonts w:ascii="Arial" w:hAnsi="Arial"/>
          <w:b/>
          <w:i/>
          <w:sz w:val="20"/>
        </w:rPr>
        <w:t xml:space="preserve"> на пациенти.</w:t>
      </w:r>
    </w:p>
    <w:p w:rsidR="004653B2" w:rsidRDefault="00F23392" w:rsidP="00F23392">
      <w:pPr>
        <w:spacing w:after="0"/>
        <w:jc w:val="both"/>
        <w:rPr>
          <w:rFonts w:ascii="Arial" w:hAnsi="Arial"/>
          <w:sz w:val="20"/>
          <w:vertAlign w:val="superscript"/>
        </w:rPr>
      </w:pPr>
      <w:r w:rsidRPr="00D702B5">
        <w:rPr>
          <w:rFonts w:ascii="Arial" w:hAnsi="Arial"/>
          <w:sz w:val="20"/>
        </w:rPr>
        <w:t>Пациентит</w:t>
      </w:r>
      <w:r w:rsidR="00D702B5" w:rsidRPr="00D702B5">
        <w:rPr>
          <w:rFonts w:ascii="Arial" w:hAnsi="Arial"/>
          <w:sz w:val="20"/>
        </w:rPr>
        <w:t>е</w:t>
      </w:r>
      <w:r w:rsidR="00D702B5">
        <w:rPr>
          <w:rFonts w:ascii="Arial" w:hAnsi="Arial"/>
          <w:sz w:val="20"/>
        </w:rPr>
        <w:t xml:space="preserve"> </w:t>
      </w:r>
      <w:r w:rsidRPr="00D702B5">
        <w:rPr>
          <w:rFonts w:ascii="Arial" w:hAnsi="Arial"/>
          <w:sz w:val="20"/>
        </w:rPr>
        <w:t>и</w:t>
      </w:r>
      <w:r w:rsidR="00D702B5">
        <w:rPr>
          <w:rFonts w:ascii="Arial" w:hAnsi="Arial"/>
          <w:sz w:val="20"/>
        </w:rPr>
        <w:t xml:space="preserve"> </w:t>
      </w:r>
      <w:r w:rsidRPr="00F23392">
        <w:rPr>
          <w:rFonts w:ascii="Arial" w:hAnsi="Arial"/>
          <w:sz w:val="20"/>
        </w:rPr>
        <w:t xml:space="preserve">семејствата погодени </w:t>
      </w:r>
      <w:r>
        <w:rPr>
          <w:rFonts w:ascii="Arial" w:hAnsi="Arial"/>
          <w:sz w:val="20"/>
        </w:rPr>
        <w:t>од ХАЕ имаат корист од</w:t>
      </w:r>
      <w:r w:rsidR="00C75731">
        <w:rPr>
          <w:rFonts w:ascii="Arial" w:hAnsi="Arial"/>
          <w:sz w:val="20"/>
        </w:rPr>
        <w:t xml:space="preserve"> тоа да се</w:t>
      </w:r>
      <w:r>
        <w:rPr>
          <w:rFonts w:ascii="Arial" w:hAnsi="Arial"/>
          <w:sz w:val="20"/>
        </w:rPr>
        <w:t xml:space="preserve"> информира</w:t>
      </w:r>
      <w:r w:rsidR="00D702B5">
        <w:rPr>
          <w:rFonts w:ascii="Arial" w:hAnsi="Arial"/>
          <w:sz w:val="20"/>
        </w:rPr>
        <w:t>н</w:t>
      </w:r>
      <w:r w:rsidR="00C75731">
        <w:rPr>
          <w:rFonts w:ascii="Arial" w:hAnsi="Arial"/>
          <w:sz w:val="20"/>
        </w:rPr>
        <w:t>и</w:t>
      </w:r>
      <w:r w:rsidR="00D702B5">
        <w:rPr>
          <w:rFonts w:ascii="Arial" w:hAnsi="Arial"/>
          <w:sz w:val="20"/>
        </w:rPr>
        <w:t xml:space="preserve"> </w:t>
      </w:r>
      <w:r>
        <w:rPr>
          <w:rFonts w:ascii="Arial" w:hAnsi="Arial"/>
          <w:sz w:val="20"/>
        </w:rPr>
        <w:t xml:space="preserve">за состојбата во периодот кога е поставена дијагнозата. </w:t>
      </w:r>
      <w:r w:rsidR="00C75731">
        <w:rPr>
          <w:rFonts w:ascii="Arial" w:hAnsi="Arial"/>
          <w:sz w:val="20"/>
        </w:rPr>
        <w:t>При утврдување на дијагноза, треба да се тестираат за ХАЕ с</w:t>
      </w:r>
      <w:r w:rsidR="00D702B5">
        <w:rPr>
          <w:rFonts w:ascii="Arial" w:hAnsi="Arial"/>
          <w:sz w:val="20"/>
        </w:rPr>
        <w:t>ите непосредни членови на семејство</w:t>
      </w:r>
      <w:r w:rsidR="00C75731">
        <w:rPr>
          <w:rFonts w:ascii="Arial" w:hAnsi="Arial"/>
          <w:sz w:val="20"/>
        </w:rPr>
        <w:t>то</w:t>
      </w:r>
      <w:r w:rsidR="00D702B5">
        <w:rPr>
          <w:rFonts w:ascii="Arial" w:hAnsi="Arial"/>
          <w:sz w:val="20"/>
        </w:rPr>
        <w:t>, со оглед на демонстрираниот ризик од морталитет поврзан со недијагностициран ХАЕ</w:t>
      </w:r>
      <w:r w:rsidR="00D702B5">
        <w:rPr>
          <w:rFonts w:ascii="Arial" w:hAnsi="Arial"/>
          <w:sz w:val="20"/>
          <w:vertAlign w:val="superscript"/>
        </w:rPr>
        <w:t>12</w:t>
      </w:r>
      <w:r w:rsidR="00D702B5">
        <w:rPr>
          <w:rFonts w:ascii="Arial" w:hAnsi="Arial"/>
          <w:sz w:val="20"/>
        </w:rPr>
        <w:t xml:space="preserve"> и фактот дека кај некои пациенти ХАЕ може да се манифестира релативно доцна во животот. Тестирање</w:t>
      </w:r>
      <w:r w:rsidR="00C75731">
        <w:rPr>
          <w:rFonts w:ascii="Arial" w:hAnsi="Arial"/>
          <w:sz w:val="20"/>
        </w:rPr>
        <w:t>то</w:t>
      </w:r>
      <w:r w:rsidR="00D702B5">
        <w:rPr>
          <w:rFonts w:ascii="Arial" w:hAnsi="Arial"/>
          <w:sz w:val="20"/>
        </w:rPr>
        <w:t xml:space="preserve"> кај мали деца честопати се одложува додека не наполнат најмалку една година</w:t>
      </w:r>
      <w:r w:rsidR="00C75731">
        <w:rPr>
          <w:rFonts w:ascii="Arial" w:hAnsi="Arial"/>
          <w:sz w:val="20"/>
        </w:rPr>
        <w:t>,</w:t>
      </w:r>
      <w:r w:rsidR="00D702B5">
        <w:rPr>
          <w:rFonts w:ascii="Arial" w:hAnsi="Arial"/>
          <w:sz w:val="20"/>
        </w:rPr>
        <w:t xml:space="preserve"> кога нивоата на компле</w:t>
      </w:r>
      <w:r w:rsidR="00924A8A">
        <w:rPr>
          <w:rFonts w:ascii="Arial" w:hAnsi="Arial"/>
          <w:sz w:val="20"/>
        </w:rPr>
        <w:t>ментот стигн</w:t>
      </w:r>
      <w:r w:rsidR="00C75731">
        <w:rPr>
          <w:rFonts w:ascii="Arial" w:hAnsi="Arial"/>
          <w:sz w:val="20"/>
        </w:rPr>
        <w:t>уваат</w:t>
      </w:r>
      <w:r w:rsidR="00924A8A">
        <w:rPr>
          <w:rFonts w:ascii="Arial" w:hAnsi="Arial"/>
          <w:sz w:val="20"/>
        </w:rPr>
        <w:t xml:space="preserve"> до нивоата</w:t>
      </w:r>
      <w:r w:rsidR="00D702B5">
        <w:rPr>
          <w:rFonts w:ascii="Arial" w:hAnsi="Arial"/>
          <w:sz w:val="20"/>
        </w:rPr>
        <w:t xml:space="preserve"> нормални кај возрасно лице. </w:t>
      </w:r>
      <w:r w:rsidR="00924A8A">
        <w:rPr>
          <w:rFonts w:ascii="Arial" w:hAnsi="Arial"/>
          <w:sz w:val="20"/>
        </w:rPr>
        <w:t>Пациентите треба да знаат што може да предизвика ХАЕ, генетиката и моделот на наследност на болеста, потенцијалната корист од семејно тестирање, вообичаените манифестации на напад, потенцијални</w:t>
      </w:r>
      <w:r w:rsidR="00C75731">
        <w:rPr>
          <w:rFonts w:ascii="Arial" w:hAnsi="Arial"/>
          <w:sz w:val="20"/>
        </w:rPr>
        <w:t>те</w:t>
      </w:r>
      <w:r w:rsidR="00924A8A">
        <w:rPr>
          <w:rFonts w:ascii="Arial" w:hAnsi="Arial"/>
          <w:sz w:val="20"/>
        </w:rPr>
        <w:t xml:space="preserve"> ризици и компликации од нападите, можни предизвикувачи на напади и постојните опции за третман. </w:t>
      </w:r>
      <w:r w:rsidR="00924A8A">
        <w:rPr>
          <w:rFonts w:ascii="Arial" w:hAnsi="Arial"/>
          <w:sz w:val="20"/>
          <w:vertAlign w:val="superscript"/>
        </w:rPr>
        <w:t>13</w:t>
      </w:r>
      <w:r w:rsidR="00924A8A">
        <w:rPr>
          <w:rFonts w:ascii="Arial" w:hAnsi="Arial"/>
          <w:sz w:val="20"/>
        </w:rPr>
        <w:t xml:space="preserve"> Бидејќи за пациентите може да е тешко брзо да ги апсорбираат информациите, едукацијата треба да се насочува на ниво кое пациентите ќе може да го разберат </w:t>
      </w:r>
      <w:r w:rsidR="006D7FD0">
        <w:rPr>
          <w:rFonts w:ascii="Arial" w:hAnsi="Arial"/>
          <w:sz w:val="20"/>
        </w:rPr>
        <w:t xml:space="preserve">и се препорачуваат трајни едукативни материјали. Топло се препорачува употреба на печатени </w:t>
      </w:r>
      <w:r w:rsidR="007F40FC">
        <w:rPr>
          <w:rFonts w:ascii="Arial" w:hAnsi="Arial"/>
          <w:sz w:val="20"/>
        </w:rPr>
        <w:t>прирачници, видеа</w:t>
      </w:r>
      <w:r w:rsidR="006D7FD0">
        <w:rPr>
          <w:rFonts w:ascii="Arial" w:hAnsi="Arial"/>
          <w:sz w:val="20"/>
        </w:rPr>
        <w:t xml:space="preserve"> или медиуми, или онлајн едукативни модули</w:t>
      </w:r>
      <w:r w:rsidR="007F40FC">
        <w:rPr>
          <w:rFonts w:ascii="Arial" w:hAnsi="Arial"/>
          <w:sz w:val="20"/>
        </w:rPr>
        <w:t>,</w:t>
      </w:r>
      <w:r w:rsidR="006D7FD0">
        <w:rPr>
          <w:rFonts w:ascii="Arial" w:hAnsi="Arial"/>
          <w:sz w:val="20"/>
        </w:rPr>
        <w:t xml:space="preserve"> кои пациентот може да ги гледа дома (Види Табела Е1 </w:t>
      </w:r>
      <w:r w:rsidR="007F40FC">
        <w:rPr>
          <w:rFonts w:ascii="Arial" w:hAnsi="Arial"/>
          <w:sz w:val="20"/>
        </w:rPr>
        <w:t>од</w:t>
      </w:r>
      <w:r w:rsidR="006D7FD0">
        <w:rPr>
          <w:rFonts w:ascii="Arial" w:hAnsi="Arial"/>
          <w:sz w:val="20"/>
        </w:rPr>
        <w:t xml:space="preserve"> оваа статија </w:t>
      </w:r>
      <w:r w:rsidR="004057EF">
        <w:rPr>
          <w:rFonts w:ascii="Arial" w:hAnsi="Arial"/>
          <w:sz w:val="20"/>
        </w:rPr>
        <w:t xml:space="preserve">во Онлајн архивата на </w:t>
      </w:r>
      <w:r w:rsidR="00EA525F">
        <w:fldChar w:fldCharType="begin"/>
      </w:r>
      <w:r w:rsidR="007E13C3">
        <w:instrText>HYPERLINK "http://www.jaci-inpractice.org"</w:instrText>
      </w:r>
      <w:r w:rsidR="00EA525F">
        <w:fldChar w:fldCharType="separate"/>
      </w:r>
      <w:r w:rsidR="004057EF" w:rsidRPr="00E82650">
        <w:rPr>
          <w:rStyle w:val="Hyperlink"/>
          <w:rFonts w:ascii="Arial" w:hAnsi="Arial"/>
          <w:sz w:val="20"/>
        </w:rPr>
        <w:t>www.jaci-inpractice.org</w:t>
      </w:r>
      <w:r w:rsidR="00EA525F">
        <w:fldChar w:fldCharType="end"/>
      </w:r>
      <w:r w:rsidR="004057EF">
        <w:rPr>
          <w:rFonts w:ascii="Arial" w:hAnsi="Arial"/>
          <w:sz w:val="20"/>
        </w:rPr>
        <w:t xml:space="preserve">). За информациите треба да се дискутира и да се прегледуваат </w:t>
      </w:r>
      <w:r w:rsidR="00077E9F">
        <w:rPr>
          <w:rFonts w:ascii="Arial" w:hAnsi="Arial"/>
          <w:sz w:val="20"/>
        </w:rPr>
        <w:t xml:space="preserve">за време на редовните посети за следење на пациентот. </w:t>
      </w:r>
      <w:r w:rsidR="007F40FC">
        <w:rPr>
          <w:rFonts w:ascii="Arial" w:hAnsi="Arial"/>
          <w:sz w:val="20"/>
        </w:rPr>
        <w:t>Како дополнение на едукацијата</w:t>
      </w:r>
      <w:r w:rsidR="00077E9F">
        <w:rPr>
          <w:rFonts w:ascii="Arial" w:hAnsi="Arial"/>
          <w:sz w:val="20"/>
        </w:rPr>
        <w:t xml:space="preserve"> за ХАЕ, важно е пациентите да се информираат како да се снаоѓаат низ здравствениот систем. Со оглед на реткоста на оваа состојба, пациентите треба да се подготвуваат тактично да ги информираат здравствените работници кои не се запознаени со ХАЕ за единствените карактеристики и побарувања за третман на ХАЕ.</w:t>
      </w:r>
      <w:r w:rsidR="005A2711">
        <w:rPr>
          <w:rFonts w:ascii="Arial" w:hAnsi="Arial"/>
          <w:sz w:val="20"/>
          <w:vertAlign w:val="superscript"/>
        </w:rPr>
        <w:t xml:space="preserve"> </w:t>
      </w:r>
    </w:p>
    <w:p w:rsidR="005A2711" w:rsidRPr="005A2711" w:rsidRDefault="005A2711" w:rsidP="00F23392">
      <w:pPr>
        <w:spacing w:after="0"/>
        <w:jc w:val="both"/>
        <w:rPr>
          <w:rFonts w:ascii="Arial" w:hAnsi="Arial"/>
          <w:sz w:val="20"/>
        </w:rPr>
      </w:pPr>
    </w:p>
    <w:p w:rsidR="004653B2" w:rsidRPr="004653B2" w:rsidRDefault="004653B2" w:rsidP="004653B2">
      <w:pPr>
        <w:pStyle w:val="ListParagraph"/>
        <w:numPr>
          <w:ilvl w:val="1"/>
          <w:numId w:val="1"/>
        </w:numPr>
        <w:spacing w:after="0"/>
        <w:jc w:val="both"/>
        <w:rPr>
          <w:rFonts w:ascii="Arial" w:hAnsi="Arial"/>
          <w:i/>
          <w:sz w:val="20"/>
        </w:rPr>
      </w:pPr>
      <w:r>
        <w:rPr>
          <w:rFonts w:ascii="Arial" w:hAnsi="Arial"/>
          <w:i/>
          <w:sz w:val="20"/>
        </w:rPr>
        <w:t xml:space="preserve">Опции за третман. </w:t>
      </w:r>
      <w:r>
        <w:rPr>
          <w:rFonts w:ascii="Arial" w:hAnsi="Arial"/>
          <w:sz w:val="20"/>
        </w:rPr>
        <w:t xml:space="preserve">Терапевтските </w:t>
      </w:r>
    </w:p>
    <w:p w:rsidR="005A2711" w:rsidRDefault="004653B2" w:rsidP="005A2711">
      <w:pPr>
        <w:spacing w:after="0"/>
        <w:jc w:val="both"/>
        <w:rPr>
          <w:rFonts w:ascii="Arial" w:hAnsi="Arial"/>
          <w:sz w:val="20"/>
        </w:rPr>
      </w:pPr>
      <w:r w:rsidRPr="004653B2">
        <w:rPr>
          <w:rFonts w:ascii="Arial" w:hAnsi="Arial"/>
          <w:sz w:val="20"/>
        </w:rPr>
        <w:t xml:space="preserve">пристапи за ХАЕ вбројуваат </w:t>
      </w:r>
      <w:r w:rsidR="007F40FC">
        <w:rPr>
          <w:rFonts w:ascii="Arial" w:hAnsi="Arial"/>
          <w:sz w:val="20"/>
        </w:rPr>
        <w:t xml:space="preserve">и </w:t>
      </w:r>
      <w:r w:rsidR="007F40FC" w:rsidRPr="007F40FC">
        <w:rPr>
          <w:rFonts w:ascii="Arial" w:hAnsi="Arial"/>
          <w:i/>
          <w:sz w:val="20"/>
        </w:rPr>
        <w:t>третмани според потреба</w:t>
      </w:r>
      <w:r w:rsidR="007F03FA">
        <w:rPr>
          <w:rFonts w:ascii="Arial" w:hAnsi="Arial"/>
          <w:sz w:val="20"/>
        </w:rPr>
        <w:t xml:space="preserve"> </w:t>
      </w:r>
      <w:r w:rsidR="007F40FC">
        <w:rPr>
          <w:rFonts w:ascii="Arial" w:hAnsi="Arial"/>
          <w:sz w:val="20"/>
        </w:rPr>
        <w:t>што се даваат</w:t>
      </w:r>
      <w:r w:rsidR="007F03FA">
        <w:rPr>
          <w:rFonts w:ascii="Arial" w:hAnsi="Arial"/>
          <w:sz w:val="20"/>
        </w:rPr>
        <w:t xml:space="preserve"> при напад </w:t>
      </w:r>
      <w:r w:rsidR="00107C6D">
        <w:rPr>
          <w:rFonts w:ascii="Arial" w:hAnsi="Arial"/>
          <w:sz w:val="20"/>
        </w:rPr>
        <w:t xml:space="preserve">на </w:t>
      </w:r>
      <w:r w:rsidR="00107C6D">
        <w:rPr>
          <w:rFonts w:ascii="Arial" w:hAnsi="Arial"/>
          <w:sz w:val="20"/>
        </w:rPr>
        <w:lastRenderedPageBreak/>
        <w:t xml:space="preserve">симптоми за да се смират нападите на ангиоедем, како и </w:t>
      </w:r>
      <w:r w:rsidR="00107C6D" w:rsidRPr="007F40FC">
        <w:rPr>
          <w:rFonts w:ascii="Arial" w:hAnsi="Arial"/>
          <w:i/>
          <w:sz w:val="20"/>
        </w:rPr>
        <w:t xml:space="preserve">профилактички третман </w:t>
      </w:r>
      <w:r w:rsidR="00107C6D">
        <w:rPr>
          <w:rFonts w:ascii="Arial" w:hAnsi="Arial"/>
          <w:sz w:val="20"/>
        </w:rPr>
        <w:t xml:space="preserve">што се администрира во редовни интервали за да се спречи или минимизира бројот на нападите и нивната сериозност. На сите пациенти им е потребен целосно </w:t>
      </w:r>
      <w:r w:rsidR="007F40FC">
        <w:rPr>
          <w:rFonts w:ascii="Arial" w:hAnsi="Arial"/>
          <w:sz w:val="20"/>
        </w:rPr>
        <w:t xml:space="preserve">достапен </w:t>
      </w:r>
      <w:r w:rsidR="007F40FC" w:rsidRPr="007F40FC">
        <w:rPr>
          <w:rFonts w:ascii="Arial" w:hAnsi="Arial"/>
          <w:i/>
          <w:sz w:val="20"/>
        </w:rPr>
        <w:t>третман според потреба</w:t>
      </w:r>
      <w:r w:rsidR="00107C6D">
        <w:rPr>
          <w:rFonts w:ascii="Arial" w:hAnsi="Arial"/>
          <w:sz w:val="20"/>
        </w:rPr>
        <w:t xml:space="preserve"> за да се прекинат непредвидливите епизоди со ангиоедем.</w:t>
      </w:r>
      <w:r w:rsidR="005A2711" w:rsidRPr="005A2711">
        <w:rPr>
          <w:rFonts w:ascii="Arial" w:hAnsi="Arial"/>
          <w:sz w:val="20"/>
          <w:vertAlign w:val="superscript"/>
        </w:rPr>
        <w:t xml:space="preserve"> </w:t>
      </w:r>
      <w:r w:rsidR="005A2711">
        <w:rPr>
          <w:rFonts w:ascii="Arial" w:hAnsi="Arial"/>
          <w:sz w:val="20"/>
          <w:vertAlign w:val="superscript"/>
        </w:rPr>
        <w:t xml:space="preserve">16 17 18 </w:t>
      </w:r>
      <w:r w:rsidR="005A2711">
        <w:rPr>
          <w:rStyle w:val="EndnoteReference"/>
          <w:rFonts w:ascii="Arial" w:hAnsi="Arial"/>
          <w:sz w:val="20"/>
        </w:rPr>
        <w:endnoteReference w:id="19"/>
      </w:r>
      <w:r w:rsidR="005A2711">
        <w:rPr>
          <w:rFonts w:ascii="Arial" w:hAnsi="Arial"/>
          <w:sz w:val="20"/>
          <w:vertAlign w:val="superscript"/>
        </w:rPr>
        <w:t xml:space="preserve"> </w:t>
      </w:r>
      <w:r w:rsidR="005A2711">
        <w:rPr>
          <w:rStyle w:val="EndnoteReference"/>
          <w:rFonts w:ascii="Arial" w:hAnsi="Arial"/>
          <w:sz w:val="20"/>
        </w:rPr>
        <w:endnoteReference w:id="20"/>
      </w:r>
      <w:r w:rsidR="005A2711">
        <w:rPr>
          <w:rFonts w:ascii="Arial" w:hAnsi="Arial"/>
          <w:sz w:val="20"/>
          <w:vertAlign w:val="superscript"/>
        </w:rPr>
        <w:t xml:space="preserve"> </w:t>
      </w:r>
      <w:r w:rsidR="00107C6D">
        <w:rPr>
          <w:rFonts w:ascii="Arial" w:hAnsi="Arial"/>
          <w:sz w:val="20"/>
        </w:rPr>
        <w:t xml:space="preserve"> </w:t>
      </w:r>
      <w:r w:rsidR="005A2711" w:rsidRPr="005A2711">
        <w:rPr>
          <w:rFonts w:ascii="Arial" w:hAnsi="Arial"/>
          <w:sz w:val="20"/>
        </w:rPr>
        <w:t>За некои пациенти</w:t>
      </w:r>
      <w:r w:rsidR="005A2711">
        <w:rPr>
          <w:rFonts w:ascii="Arial" w:hAnsi="Arial"/>
          <w:sz w:val="20"/>
        </w:rPr>
        <w:t xml:space="preserve"> доволен е</w:t>
      </w:r>
      <w:r w:rsidR="005A2711" w:rsidRPr="005A2711">
        <w:rPr>
          <w:rFonts w:ascii="Arial" w:hAnsi="Arial"/>
          <w:sz w:val="20"/>
        </w:rPr>
        <w:t xml:space="preserve"> </w:t>
      </w:r>
      <w:r w:rsidR="007F40FC">
        <w:rPr>
          <w:rFonts w:ascii="Arial" w:hAnsi="Arial"/>
          <w:sz w:val="20"/>
        </w:rPr>
        <w:t xml:space="preserve">само </w:t>
      </w:r>
      <w:r w:rsidR="007F40FC" w:rsidRPr="007F40FC">
        <w:rPr>
          <w:rFonts w:ascii="Arial" w:hAnsi="Arial"/>
          <w:i/>
          <w:sz w:val="20"/>
        </w:rPr>
        <w:t>третман според потреба</w:t>
      </w:r>
      <w:r w:rsidR="005A2711">
        <w:rPr>
          <w:rFonts w:ascii="Arial" w:hAnsi="Arial"/>
          <w:sz w:val="20"/>
        </w:rPr>
        <w:t xml:space="preserve">; а </w:t>
      </w:r>
      <w:r w:rsidR="007F40FC">
        <w:rPr>
          <w:rFonts w:ascii="Arial" w:hAnsi="Arial"/>
          <w:sz w:val="20"/>
        </w:rPr>
        <w:t>за други пак</w:t>
      </w:r>
      <w:r w:rsidR="005A2711">
        <w:rPr>
          <w:rFonts w:ascii="Arial" w:hAnsi="Arial"/>
          <w:sz w:val="20"/>
        </w:rPr>
        <w:t xml:space="preserve"> </w:t>
      </w:r>
      <w:r w:rsidR="005A2711" w:rsidRPr="007F40FC">
        <w:rPr>
          <w:rFonts w:ascii="Arial" w:hAnsi="Arial"/>
          <w:i/>
          <w:sz w:val="20"/>
        </w:rPr>
        <w:t>профилактичкиот третман</w:t>
      </w:r>
      <w:r w:rsidR="005A2711">
        <w:rPr>
          <w:rFonts w:ascii="Arial" w:hAnsi="Arial"/>
          <w:sz w:val="20"/>
        </w:rPr>
        <w:t xml:space="preserve"> е индициран како третман од прв ред заедно со </w:t>
      </w:r>
      <w:r w:rsidR="005A2711" w:rsidRPr="007F40FC">
        <w:rPr>
          <w:rFonts w:ascii="Arial" w:hAnsi="Arial"/>
          <w:i/>
          <w:sz w:val="20"/>
        </w:rPr>
        <w:t>третман според потреба</w:t>
      </w:r>
      <w:r w:rsidR="007F40FC">
        <w:rPr>
          <w:rFonts w:ascii="Arial" w:hAnsi="Arial"/>
          <w:sz w:val="20"/>
        </w:rPr>
        <w:t xml:space="preserve"> за </w:t>
      </w:r>
      <w:r w:rsidR="005A2711">
        <w:rPr>
          <w:rFonts w:ascii="Arial" w:hAnsi="Arial"/>
          <w:sz w:val="20"/>
        </w:rPr>
        <w:t>напади</w:t>
      </w:r>
      <w:r w:rsidR="007F40FC">
        <w:rPr>
          <w:rFonts w:ascii="Arial" w:hAnsi="Arial"/>
          <w:sz w:val="20"/>
        </w:rPr>
        <w:t>те кои се случуваат и покрај дадената профилакса</w:t>
      </w:r>
      <w:r w:rsidR="005A2711">
        <w:rPr>
          <w:rFonts w:ascii="Arial" w:hAnsi="Arial"/>
          <w:sz w:val="20"/>
        </w:rPr>
        <w:t xml:space="preserve">; а кај трети пациенти, </w:t>
      </w:r>
      <w:r w:rsidR="005A2711" w:rsidRPr="007F40FC">
        <w:rPr>
          <w:rFonts w:ascii="Arial" w:hAnsi="Arial"/>
          <w:i/>
          <w:sz w:val="20"/>
        </w:rPr>
        <w:t>профилактичкиот третман</w:t>
      </w:r>
      <w:r w:rsidR="005A2711">
        <w:rPr>
          <w:rFonts w:ascii="Arial" w:hAnsi="Arial"/>
          <w:sz w:val="20"/>
        </w:rPr>
        <w:t xml:space="preserve"> може да се додаде на веќе постојниот </w:t>
      </w:r>
      <w:r w:rsidR="005A2711" w:rsidRPr="007F40FC">
        <w:rPr>
          <w:rFonts w:ascii="Arial" w:hAnsi="Arial"/>
          <w:i/>
          <w:sz w:val="20"/>
        </w:rPr>
        <w:t>третман според потреба</w:t>
      </w:r>
      <w:r w:rsidR="007F40FC">
        <w:rPr>
          <w:rFonts w:ascii="Arial" w:hAnsi="Arial"/>
          <w:sz w:val="20"/>
        </w:rPr>
        <w:t xml:space="preserve"> кога е неопходно да се одржи</w:t>
      </w:r>
      <w:r w:rsidR="005A2711">
        <w:rPr>
          <w:rFonts w:ascii="Arial" w:hAnsi="Arial"/>
          <w:sz w:val="20"/>
        </w:rPr>
        <w:t xml:space="preserve"> прифатлив квалитет на живот. </w:t>
      </w:r>
      <w:r w:rsidR="005A2711">
        <w:rPr>
          <w:rFonts w:ascii="Arial" w:hAnsi="Arial"/>
          <w:sz w:val="20"/>
          <w:vertAlign w:val="superscript"/>
        </w:rPr>
        <w:t>3, 20</w:t>
      </w:r>
      <w:r w:rsidR="005A2711">
        <w:rPr>
          <w:rFonts w:ascii="Arial" w:hAnsi="Arial"/>
          <w:sz w:val="20"/>
        </w:rPr>
        <w:t xml:space="preserve"> Поради драматичната интра- и интериндивидуална клиничка варијабилност на ХАЕ, оптималните стратегии за третман за пациент со ХАЕ треба да се индивидуализирани врз основа на фактори и преференци</w:t>
      </w:r>
      <w:r w:rsidR="000D42A7">
        <w:rPr>
          <w:rFonts w:ascii="Arial" w:hAnsi="Arial"/>
          <w:sz w:val="20"/>
        </w:rPr>
        <w:t xml:space="preserve"> кои се специфични за пациентот. </w:t>
      </w:r>
      <w:r w:rsidR="009D7D82">
        <w:rPr>
          <w:rFonts w:ascii="Arial" w:hAnsi="Arial"/>
          <w:sz w:val="20"/>
        </w:rPr>
        <w:t>Факторите како возраста, други состојби кои може да предизвикаат морбидитет, пристап до медицинските капацитети на ургентен центар и минатото искуство на пациентот мора да се земат предвид кога се разгледува изборот на третмани. Исто така треба да се пр</w:t>
      </w:r>
      <w:r w:rsidR="000732DE">
        <w:rPr>
          <w:rFonts w:ascii="Arial" w:hAnsi="Arial"/>
          <w:sz w:val="20"/>
        </w:rPr>
        <w:t>епознае</w:t>
      </w:r>
      <w:r w:rsidR="009D7D82">
        <w:rPr>
          <w:rFonts w:ascii="Arial" w:hAnsi="Arial"/>
          <w:sz w:val="20"/>
        </w:rPr>
        <w:t xml:space="preserve"> дека сериозноста на ХАЕ може да се зголеми или намали, па докторот треба на периоди да ги прегледува и по можност да го усовршува планот за третман врз основа на клиничкиот тек и динамички</w:t>
      </w:r>
      <w:r w:rsidR="000732DE">
        <w:rPr>
          <w:rFonts w:ascii="Arial" w:hAnsi="Arial"/>
          <w:sz w:val="20"/>
        </w:rPr>
        <w:t>те</w:t>
      </w:r>
      <w:r w:rsidR="009D7D82">
        <w:rPr>
          <w:rFonts w:ascii="Arial" w:hAnsi="Arial"/>
          <w:sz w:val="20"/>
        </w:rPr>
        <w:t xml:space="preserve"> фактори на пациентот (односно, бременост, живот на село наспроти живот во град, итн.).</w:t>
      </w:r>
    </w:p>
    <w:p w:rsidR="000732DE" w:rsidRDefault="000732DE" w:rsidP="005A2711">
      <w:pPr>
        <w:spacing w:after="0"/>
        <w:jc w:val="both"/>
        <w:rPr>
          <w:rFonts w:ascii="Arial" w:hAnsi="Arial"/>
          <w:sz w:val="20"/>
        </w:rPr>
      </w:pPr>
    </w:p>
    <w:p w:rsidR="009D7D82" w:rsidRDefault="009D7D82" w:rsidP="005A2711">
      <w:pPr>
        <w:spacing w:after="0"/>
        <w:jc w:val="both"/>
        <w:rPr>
          <w:rFonts w:ascii="Arial" w:hAnsi="Arial"/>
          <w:sz w:val="20"/>
        </w:rPr>
      </w:pPr>
      <w:r>
        <w:rPr>
          <w:rFonts w:ascii="Arial" w:hAnsi="Arial"/>
          <w:i/>
          <w:sz w:val="20"/>
        </w:rPr>
        <w:t xml:space="preserve">1.4 Координација на </w:t>
      </w:r>
      <w:r w:rsidR="000732DE">
        <w:rPr>
          <w:rFonts w:ascii="Arial" w:hAnsi="Arial"/>
          <w:i/>
          <w:sz w:val="20"/>
        </w:rPr>
        <w:t>нега</w:t>
      </w:r>
      <w:r>
        <w:rPr>
          <w:rFonts w:ascii="Arial" w:hAnsi="Arial"/>
          <w:i/>
          <w:sz w:val="20"/>
        </w:rPr>
        <w:t>та.</w:t>
      </w:r>
      <w:r>
        <w:rPr>
          <w:rFonts w:ascii="Arial" w:hAnsi="Arial"/>
          <w:sz w:val="20"/>
        </w:rPr>
        <w:t xml:space="preserve"> Пациентите со ХАЕ честопати доаѓаат во ситуација да им е потребна интервенција од доктор кој не е докторот експерт за ХАЕ. Бидејќи е можно тие ситуации да се итни, експертот доктор за ХАЕ треба однапред да разговара за тоа со пациентот и да му помогне што</w:t>
      </w:r>
      <w:r w:rsidR="000732DE">
        <w:rPr>
          <w:rFonts w:ascii="Arial" w:hAnsi="Arial"/>
          <w:sz w:val="20"/>
        </w:rPr>
        <w:t xml:space="preserve"> </w:t>
      </w:r>
      <w:r>
        <w:rPr>
          <w:rFonts w:ascii="Arial" w:hAnsi="Arial"/>
          <w:sz w:val="20"/>
        </w:rPr>
        <w:t xml:space="preserve">е можно подобро да ја предвиди таа потреба. </w:t>
      </w:r>
      <w:r w:rsidR="00AE7EFB">
        <w:rPr>
          <w:rFonts w:ascii="Arial" w:hAnsi="Arial"/>
          <w:sz w:val="20"/>
        </w:rPr>
        <w:t xml:space="preserve">Докторот експерт треба да </w:t>
      </w:r>
      <w:r w:rsidR="007316A2">
        <w:rPr>
          <w:rFonts w:ascii="Arial" w:hAnsi="Arial"/>
          <w:sz w:val="20"/>
        </w:rPr>
        <w:t xml:space="preserve">ги информира здравствените работници за деталите од </w:t>
      </w:r>
      <w:r w:rsidR="007316A2">
        <w:rPr>
          <w:rFonts w:ascii="Arial" w:hAnsi="Arial"/>
          <w:sz w:val="20"/>
        </w:rPr>
        <w:lastRenderedPageBreak/>
        <w:t>планот за третирање на ХАЕ, доколку пациентот има напад за кој е потребна помош. Ова подразбира дека локалниот примарен д</w:t>
      </w:r>
      <w:r w:rsidR="000732DE">
        <w:rPr>
          <w:rFonts w:ascii="Arial" w:hAnsi="Arial"/>
          <w:sz w:val="20"/>
        </w:rPr>
        <w:t xml:space="preserve">октор треба да </w:t>
      </w:r>
      <w:r w:rsidR="007316A2">
        <w:rPr>
          <w:rFonts w:ascii="Arial" w:hAnsi="Arial"/>
          <w:sz w:val="20"/>
        </w:rPr>
        <w:t xml:space="preserve">е информиран за ХАЕ. Кога е можно, за пациентот и за можниот третман треба да се информира и локалниот ургентен центар. Локалните здравствени </w:t>
      </w:r>
      <w:r w:rsidR="00942F6B">
        <w:rPr>
          <w:rFonts w:ascii="Arial" w:hAnsi="Arial"/>
          <w:sz w:val="20"/>
        </w:rPr>
        <w:t xml:space="preserve">служби исто така треба да знаат како да исконтактираат со докторот експерт доколку им се потребни дополнителни препораки. Сите пациенти со ХАЕ треба да носат со себе идентификација којашто ќе ги алармира здравствените работници за ХАЕ, а во тоа е вклучен и контакт телефонт од докторот експерт. Тоа може да се направи преку користење на медицинска алка за идентификација, писма и/или </w:t>
      </w:r>
      <w:r w:rsidR="00AA4995">
        <w:rPr>
          <w:rFonts w:ascii="Arial" w:hAnsi="Arial"/>
          <w:sz w:val="20"/>
        </w:rPr>
        <w:t xml:space="preserve">у-ес-бе. Како дополнение на ова, се советува означување </w:t>
      </w:r>
      <w:r w:rsidR="000732DE">
        <w:rPr>
          <w:rFonts w:ascii="Arial" w:hAnsi="Arial"/>
          <w:sz w:val="20"/>
        </w:rPr>
        <w:t xml:space="preserve">со знаменце </w:t>
      </w:r>
      <w:r w:rsidR="00AA4995">
        <w:rPr>
          <w:rFonts w:ascii="Arial" w:hAnsi="Arial"/>
          <w:sz w:val="20"/>
        </w:rPr>
        <w:t>на</w:t>
      </w:r>
      <w:r w:rsidR="000732DE">
        <w:rPr>
          <w:rFonts w:ascii="Arial" w:hAnsi="Arial"/>
          <w:sz w:val="20"/>
        </w:rPr>
        <w:t xml:space="preserve"> електронското медицинско</w:t>
      </w:r>
      <w:r w:rsidR="00AA4995">
        <w:rPr>
          <w:rFonts w:ascii="Arial" w:hAnsi="Arial"/>
          <w:sz w:val="20"/>
        </w:rPr>
        <w:t xml:space="preserve"> досие на пациентот за да се нагласи дека истиот страда од ретка и потенцијално смртоносна болест</w:t>
      </w:r>
      <w:r w:rsidR="00D5302E">
        <w:rPr>
          <w:rFonts w:ascii="Arial" w:hAnsi="Arial"/>
          <w:sz w:val="20"/>
        </w:rPr>
        <w:t xml:space="preserve">. Топло се препорачува на сите пациенти со ХАЕ да им се даде картичка во која се нудат инструкции за третман при напад кои се специфични за пациентот. </w:t>
      </w:r>
    </w:p>
    <w:p w:rsidR="00D5302E" w:rsidRDefault="00D5302E" w:rsidP="005A2711">
      <w:pPr>
        <w:spacing w:after="0"/>
        <w:jc w:val="both"/>
        <w:rPr>
          <w:rFonts w:ascii="Arial" w:hAnsi="Arial"/>
          <w:sz w:val="20"/>
        </w:rPr>
      </w:pPr>
    </w:p>
    <w:p w:rsidR="00D5302E" w:rsidRPr="00D5302E" w:rsidRDefault="00D5302E" w:rsidP="00D5302E">
      <w:pPr>
        <w:pStyle w:val="ListParagraph"/>
        <w:numPr>
          <w:ilvl w:val="1"/>
          <w:numId w:val="1"/>
        </w:numPr>
        <w:spacing w:after="0"/>
        <w:jc w:val="both"/>
        <w:rPr>
          <w:rFonts w:ascii="Arial" w:hAnsi="Arial"/>
          <w:i/>
          <w:sz w:val="20"/>
        </w:rPr>
      </w:pPr>
      <w:r>
        <w:rPr>
          <w:rFonts w:ascii="Arial" w:hAnsi="Arial"/>
          <w:i/>
          <w:sz w:val="20"/>
        </w:rPr>
        <w:t xml:space="preserve">Логистика на третманот. </w:t>
      </w:r>
      <w:r>
        <w:rPr>
          <w:rFonts w:ascii="Arial" w:hAnsi="Arial"/>
          <w:sz w:val="20"/>
        </w:rPr>
        <w:t>Докторот</w:t>
      </w:r>
    </w:p>
    <w:p w:rsidR="00507602" w:rsidRDefault="00D5302E" w:rsidP="00D5302E">
      <w:pPr>
        <w:spacing w:after="0"/>
        <w:jc w:val="both"/>
        <w:rPr>
          <w:rFonts w:ascii="Arial" w:hAnsi="Arial"/>
          <w:sz w:val="20"/>
        </w:rPr>
      </w:pPr>
      <w:r w:rsidRPr="00D5302E">
        <w:rPr>
          <w:rFonts w:ascii="Arial" w:hAnsi="Arial"/>
          <w:sz w:val="20"/>
        </w:rPr>
        <w:t>експерт</w:t>
      </w:r>
      <w:r w:rsidR="003D3959">
        <w:rPr>
          <w:rFonts w:ascii="Arial" w:hAnsi="Arial"/>
          <w:sz w:val="20"/>
        </w:rPr>
        <w:t xml:space="preserve"> треба да обезбеди</w:t>
      </w:r>
      <w:r>
        <w:rPr>
          <w:rFonts w:ascii="Arial" w:hAnsi="Arial"/>
          <w:sz w:val="20"/>
        </w:rPr>
        <w:t xml:space="preserve"> секој пациент со ХАЕ да има изготвено специфични детални планови за да се третира секој напад што може да се појави. Во ова е вклучено претходно снабдување на специфични лекови за ХАЕ одобрени од Администрацијата за храна и лекови за секој пациент кој страда </w:t>
      </w:r>
      <w:r w:rsidR="008E08B3">
        <w:rPr>
          <w:rFonts w:ascii="Arial" w:hAnsi="Arial"/>
          <w:sz w:val="20"/>
        </w:rPr>
        <w:t>од оваа болест</w:t>
      </w:r>
      <w:r>
        <w:rPr>
          <w:rFonts w:ascii="Arial" w:hAnsi="Arial"/>
          <w:sz w:val="20"/>
        </w:rPr>
        <w:t>.</w:t>
      </w:r>
      <w:r w:rsidR="00DE7265">
        <w:rPr>
          <w:rFonts w:ascii="Arial" w:hAnsi="Arial"/>
          <w:sz w:val="20"/>
        </w:rPr>
        <w:t xml:space="preserve"> Пациентите треба да ги знаат</w:t>
      </w:r>
      <w:r w:rsidR="008E08B3">
        <w:rPr>
          <w:rFonts w:ascii="Arial" w:hAnsi="Arial"/>
          <w:sz w:val="20"/>
        </w:rPr>
        <w:t xml:space="preserve"> лековите </w:t>
      </w:r>
      <w:r w:rsidR="0081736F">
        <w:rPr>
          <w:rFonts w:ascii="Arial" w:hAnsi="Arial"/>
          <w:sz w:val="20"/>
        </w:rPr>
        <w:t>што ќе ги користат за да третираат напад, каде и како се складира лекот</w:t>
      </w:r>
      <w:r w:rsidR="003D3959">
        <w:rPr>
          <w:rFonts w:ascii="Arial" w:hAnsi="Arial"/>
          <w:sz w:val="20"/>
        </w:rPr>
        <w:t>, кога ќе го употребат</w:t>
      </w:r>
      <w:r w:rsidR="00DE7265">
        <w:rPr>
          <w:rFonts w:ascii="Arial" w:hAnsi="Arial"/>
          <w:sz w:val="20"/>
        </w:rPr>
        <w:t>, кој ќе го администрира истиот (дали пациентот ќе си го администрира сам или ќе му го администрира здравствен работник), каде ќе се администрира лекот (дома или во здравствен дом) и како ќе се следи дали треба да се бара дополнителна помош или дополнително дозирање на лекот.</w:t>
      </w:r>
      <w:r w:rsidR="000070EE">
        <w:rPr>
          <w:rFonts w:ascii="Arial" w:hAnsi="Arial"/>
          <w:sz w:val="20"/>
        </w:rPr>
        <w:t xml:space="preserve"> Во</w:t>
      </w:r>
      <w:r w:rsidR="00DE7265">
        <w:rPr>
          <w:rFonts w:ascii="Arial" w:hAnsi="Arial"/>
          <w:sz w:val="20"/>
        </w:rPr>
        <w:t xml:space="preserve"> </w:t>
      </w:r>
      <w:r w:rsidR="000070EE">
        <w:rPr>
          <w:rFonts w:ascii="Arial" w:hAnsi="Arial"/>
          <w:sz w:val="20"/>
        </w:rPr>
        <w:t>плановите за третман треба да се вклучуваат</w:t>
      </w:r>
      <w:r w:rsidR="00507602">
        <w:rPr>
          <w:rFonts w:ascii="Arial" w:hAnsi="Arial"/>
          <w:sz w:val="20"/>
        </w:rPr>
        <w:t xml:space="preserve"> ситуации во случај првичниот третман да не успее или ако пациентот доживее акутни </w:t>
      </w:r>
      <w:r w:rsidR="00507602">
        <w:rPr>
          <w:rFonts w:ascii="Arial" w:hAnsi="Arial"/>
          <w:sz w:val="20"/>
        </w:rPr>
        <w:lastRenderedPageBreak/>
        <w:t>негативни ефекти од терапијата. Со оглед на непредвидливоста на ХАЕ нападите, пациентите треба исто така да го разберат процесот во рамки на кој залих</w:t>
      </w:r>
      <w:r w:rsidR="003D3959">
        <w:rPr>
          <w:rFonts w:ascii="Arial" w:hAnsi="Arial"/>
          <w:sz w:val="20"/>
        </w:rPr>
        <w:t>ата на нивните лекови се обновува</w:t>
      </w:r>
      <w:r w:rsidR="00507602">
        <w:rPr>
          <w:rFonts w:ascii="Arial" w:hAnsi="Arial"/>
          <w:sz w:val="20"/>
        </w:rPr>
        <w:t xml:space="preserve"> за соодветно да се подготват за следниот напад. Пациентите мора да имаат планови кои ќе овозможат третманот ефика</w:t>
      </w:r>
      <w:r w:rsidR="00CA1154">
        <w:rPr>
          <w:rFonts w:ascii="Arial" w:hAnsi="Arial"/>
          <w:sz w:val="20"/>
        </w:rPr>
        <w:t>сно и сигурно да се спроведе</w:t>
      </w:r>
      <w:r w:rsidR="00507602">
        <w:rPr>
          <w:rFonts w:ascii="Arial" w:hAnsi="Arial"/>
          <w:sz w:val="20"/>
        </w:rPr>
        <w:t xml:space="preserve"> без оглед дали се дома, на училиште, на работа или ако патуваат.</w:t>
      </w:r>
    </w:p>
    <w:p w:rsidR="00507602" w:rsidRDefault="00507602" w:rsidP="00D5302E">
      <w:pPr>
        <w:spacing w:after="0"/>
        <w:jc w:val="both"/>
        <w:rPr>
          <w:rFonts w:ascii="Arial" w:hAnsi="Arial"/>
          <w:sz w:val="20"/>
        </w:rPr>
      </w:pPr>
    </w:p>
    <w:p w:rsidR="00D5302E" w:rsidRDefault="00507602" w:rsidP="00D5302E">
      <w:pPr>
        <w:spacing w:after="0"/>
        <w:jc w:val="both"/>
        <w:rPr>
          <w:rFonts w:ascii="Arial" w:hAnsi="Arial"/>
          <w:sz w:val="20"/>
        </w:rPr>
      </w:pPr>
      <w:r w:rsidRPr="00507602">
        <w:rPr>
          <w:rFonts w:ascii="Arial" w:hAnsi="Arial"/>
          <w:b/>
          <w:sz w:val="20"/>
        </w:rPr>
        <w:t>Втор дел. Третман на ангиоедем нападите.</w:t>
      </w:r>
      <w:r>
        <w:rPr>
          <w:rFonts w:ascii="Arial" w:hAnsi="Arial"/>
          <w:b/>
          <w:sz w:val="20"/>
        </w:rPr>
        <w:t xml:space="preserve"> </w:t>
      </w:r>
      <w:r>
        <w:rPr>
          <w:rFonts w:ascii="Arial" w:hAnsi="Arial"/>
          <w:sz w:val="20"/>
        </w:rPr>
        <w:t>Целта на акутниот третман н</w:t>
      </w:r>
      <w:r w:rsidR="006B21F2">
        <w:rPr>
          <w:rFonts w:ascii="Arial" w:hAnsi="Arial"/>
          <w:sz w:val="20"/>
        </w:rPr>
        <w:t>а ХАЕ е да се минимизира морбидитетот</w:t>
      </w:r>
      <w:r w:rsidR="00793810">
        <w:rPr>
          <w:rFonts w:ascii="Arial" w:hAnsi="Arial"/>
          <w:sz w:val="20"/>
        </w:rPr>
        <w:t xml:space="preserve"> и да се спречи морталитетот од ангиоедем</w:t>
      </w:r>
      <w:r w:rsidR="00CA1154">
        <w:rPr>
          <w:rFonts w:ascii="Arial" w:hAnsi="Arial"/>
          <w:sz w:val="20"/>
        </w:rPr>
        <w:t xml:space="preserve">а напад. Третманот на </w:t>
      </w:r>
      <w:r w:rsidR="00CA1154" w:rsidRPr="00CA1154">
        <w:rPr>
          <w:rFonts w:ascii="Arial" w:hAnsi="Arial"/>
          <w:i/>
          <w:sz w:val="20"/>
        </w:rPr>
        <w:t>нападите според потреба</w:t>
      </w:r>
      <w:r w:rsidR="00793810">
        <w:rPr>
          <w:rFonts w:ascii="Arial" w:hAnsi="Arial"/>
          <w:sz w:val="20"/>
        </w:rPr>
        <w:t xml:space="preserve"> (односно кога и да се случат) е основeн за постигнување на оваа цел. </w:t>
      </w:r>
      <w:r w:rsidR="00793810">
        <w:rPr>
          <w:rStyle w:val="EndnoteReference"/>
          <w:rFonts w:ascii="Arial" w:hAnsi="Arial"/>
          <w:sz w:val="20"/>
        </w:rPr>
        <w:endnoteReference w:id="21"/>
      </w:r>
      <w:r w:rsidR="00793810">
        <w:rPr>
          <w:rFonts w:ascii="Arial" w:hAnsi="Arial"/>
          <w:sz w:val="20"/>
        </w:rPr>
        <w:t xml:space="preserve"> </w:t>
      </w:r>
      <w:r w:rsidR="00CA1154">
        <w:rPr>
          <w:rFonts w:ascii="Arial" w:hAnsi="Arial"/>
          <w:sz w:val="20"/>
        </w:rPr>
        <w:t>Достапни се м</w:t>
      </w:r>
      <w:r w:rsidR="00793810">
        <w:rPr>
          <w:rFonts w:ascii="Arial" w:hAnsi="Arial"/>
          <w:sz w:val="20"/>
        </w:rPr>
        <w:t>ногубројни специфичн</w:t>
      </w:r>
      <w:r w:rsidR="00CA1154">
        <w:rPr>
          <w:rFonts w:ascii="Arial" w:hAnsi="Arial"/>
          <w:sz w:val="20"/>
        </w:rPr>
        <w:t xml:space="preserve">и и ефективни лекови </w:t>
      </w:r>
      <w:r w:rsidR="00793810">
        <w:rPr>
          <w:rFonts w:ascii="Arial" w:hAnsi="Arial"/>
          <w:sz w:val="20"/>
        </w:rPr>
        <w:t xml:space="preserve"> за </w:t>
      </w:r>
      <w:r w:rsidR="00793810" w:rsidRPr="00CA1154">
        <w:rPr>
          <w:rFonts w:ascii="Arial" w:hAnsi="Arial"/>
          <w:i/>
          <w:sz w:val="20"/>
        </w:rPr>
        <w:t>третман според потреба</w:t>
      </w:r>
      <w:r w:rsidR="00793810">
        <w:rPr>
          <w:rFonts w:ascii="Arial" w:hAnsi="Arial"/>
          <w:sz w:val="20"/>
        </w:rPr>
        <w:t xml:space="preserve"> на ангиоедем напади </w:t>
      </w:r>
      <w:r w:rsidR="00444B1F">
        <w:rPr>
          <w:rFonts w:ascii="Arial" w:hAnsi="Arial"/>
          <w:sz w:val="20"/>
        </w:rPr>
        <w:t>(Табела I).</w:t>
      </w:r>
      <w:r w:rsidR="00444B1F">
        <w:rPr>
          <w:rFonts w:ascii="Arial" w:hAnsi="Arial"/>
          <w:sz w:val="20"/>
          <w:vertAlign w:val="superscript"/>
        </w:rPr>
        <w:t>8-11</w:t>
      </w:r>
      <w:r w:rsidR="00444B1F">
        <w:rPr>
          <w:rFonts w:ascii="Arial" w:hAnsi="Arial"/>
          <w:sz w:val="20"/>
        </w:rPr>
        <w:t xml:space="preserve"> МСО на ХАЕА на САД ги изготви следните препорак</w:t>
      </w:r>
      <w:r w:rsidR="00CA1154">
        <w:rPr>
          <w:rFonts w:ascii="Arial" w:hAnsi="Arial"/>
          <w:sz w:val="20"/>
        </w:rPr>
        <w:t xml:space="preserve">и за </w:t>
      </w:r>
      <w:r w:rsidR="00CA1154">
        <w:rPr>
          <w:rFonts w:ascii="Arial" w:hAnsi="Arial"/>
          <w:i/>
          <w:sz w:val="20"/>
        </w:rPr>
        <w:t>третман според потреба</w:t>
      </w:r>
      <w:r w:rsidR="00444B1F">
        <w:rPr>
          <w:rFonts w:ascii="Arial" w:hAnsi="Arial"/>
          <w:sz w:val="20"/>
        </w:rPr>
        <w:t xml:space="preserve"> на ангиоедем нападите. </w:t>
      </w:r>
    </w:p>
    <w:p w:rsidR="000446A9" w:rsidRDefault="000446A9" w:rsidP="00D5302E">
      <w:pPr>
        <w:spacing w:after="0"/>
        <w:jc w:val="both"/>
        <w:rPr>
          <w:rFonts w:ascii="Arial" w:hAnsi="Arial"/>
          <w:sz w:val="20"/>
        </w:rPr>
      </w:pPr>
    </w:p>
    <w:p w:rsidR="00444B1F" w:rsidRDefault="00CA1154" w:rsidP="00D5302E">
      <w:pPr>
        <w:spacing w:after="0"/>
        <w:jc w:val="both"/>
        <w:rPr>
          <w:rFonts w:ascii="Arial" w:hAnsi="Arial"/>
          <w:sz w:val="20"/>
        </w:rPr>
      </w:pPr>
      <w:r>
        <w:rPr>
          <w:rFonts w:ascii="Arial" w:hAnsi="Arial"/>
          <w:b/>
          <w:i/>
          <w:sz w:val="20"/>
        </w:rPr>
        <w:t>2.1. Достапнот на третман според потреба</w:t>
      </w:r>
      <w:r w:rsidR="00444B1F" w:rsidRPr="00737328">
        <w:rPr>
          <w:rFonts w:ascii="Arial" w:hAnsi="Arial"/>
          <w:b/>
          <w:i/>
          <w:sz w:val="20"/>
        </w:rPr>
        <w:t>.</w:t>
      </w:r>
      <w:r w:rsidR="00444B1F">
        <w:rPr>
          <w:rFonts w:ascii="Arial" w:hAnsi="Arial"/>
          <w:i/>
          <w:sz w:val="20"/>
        </w:rPr>
        <w:t xml:space="preserve"> </w:t>
      </w:r>
      <w:r w:rsidR="009C2EB0">
        <w:rPr>
          <w:rFonts w:ascii="Arial" w:hAnsi="Arial"/>
          <w:sz w:val="20"/>
        </w:rPr>
        <w:t xml:space="preserve">Сите пациенти со ХАЕ </w:t>
      </w:r>
      <w:r w:rsidR="00FD23B2">
        <w:rPr>
          <w:rFonts w:ascii="Arial" w:hAnsi="Arial"/>
          <w:sz w:val="20"/>
        </w:rPr>
        <w:t>како резултат на недостаток</w:t>
      </w:r>
      <w:r w:rsidR="00737328">
        <w:rPr>
          <w:rFonts w:ascii="Arial" w:hAnsi="Arial"/>
          <w:sz w:val="20"/>
        </w:rPr>
        <w:t>от</w:t>
      </w:r>
      <w:r w:rsidR="00FD23B2">
        <w:rPr>
          <w:rFonts w:ascii="Arial" w:hAnsi="Arial"/>
          <w:sz w:val="20"/>
        </w:rPr>
        <w:t xml:space="preserve"> на C1INH треба </w:t>
      </w:r>
      <w:r w:rsidR="00737328">
        <w:rPr>
          <w:rFonts w:ascii="Arial" w:hAnsi="Arial"/>
          <w:sz w:val="20"/>
        </w:rPr>
        <w:t xml:space="preserve">да имаат пристап </w:t>
      </w:r>
      <w:r>
        <w:rPr>
          <w:rFonts w:ascii="Arial" w:hAnsi="Arial"/>
          <w:sz w:val="20"/>
        </w:rPr>
        <w:t>до најмалку</w:t>
      </w:r>
      <w:r w:rsidR="00737328">
        <w:rPr>
          <w:rFonts w:ascii="Arial" w:hAnsi="Arial"/>
          <w:sz w:val="20"/>
        </w:rPr>
        <w:t xml:space="preserve"> две</w:t>
      </w:r>
      <w:r w:rsidR="00FD23B2">
        <w:rPr>
          <w:rFonts w:ascii="Arial" w:hAnsi="Arial"/>
          <w:sz w:val="20"/>
        </w:rPr>
        <w:t xml:space="preserve"> стандардни дози </w:t>
      </w:r>
      <w:r w:rsidR="000446A9">
        <w:rPr>
          <w:rFonts w:ascii="Arial" w:hAnsi="Arial"/>
          <w:sz w:val="20"/>
        </w:rPr>
        <w:t xml:space="preserve">од </w:t>
      </w:r>
      <w:r w:rsidR="000446A9" w:rsidRPr="000446A9">
        <w:rPr>
          <w:rFonts w:ascii="Arial" w:hAnsi="Arial"/>
          <w:i/>
          <w:sz w:val="20"/>
        </w:rPr>
        <w:t>лековите според</w:t>
      </w:r>
      <w:r w:rsidR="00737328" w:rsidRPr="000446A9">
        <w:rPr>
          <w:rFonts w:ascii="Arial" w:hAnsi="Arial"/>
          <w:i/>
          <w:sz w:val="20"/>
        </w:rPr>
        <w:t xml:space="preserve"> по</w:t>
      </w:r>
      <w:r w:rsidRPr="000446A9">
        <w:rPr>
          <w:rFonts w:ascii="Arial" w:hAnsi="Arial"/>
          <w:i/>
          <w:sz w:val="20"/>
        </w:rPr>
        <w:t>треба</w:t>
      </w:r>
      <w:r w:rsidR="00737328">
        <w:rPr>
          <w:rFonts w:ascii="Arial" w:hAnsi="Arial"/>
          <w:sz w:val="20"/>
        </w:rPr>
        <w:t xml:space="preserve"> за акутни ХАЕ напади. Бидејќи сите пациенти не реагираат исто на секој лек, одговорност на докторот експерт кој е координатор е да работи со секој пациент за да дефинира оптимален лек за тој одреден пациент. Во случаи кога </w:t>
      </w:r>
      <w:r w:rsidR="00A3182B">
        <w:rPr>
          <w:rFonts w:ascii="Arial" w:hAnsi="Arial"/>
          <w:sz w:val="20"/>
        </w:rPr>
        <w:t xml:space="preserve">е препишан </w:t>
      </w:r>
      <w:r w:rsidR="00737328">
        <w:rPr>
          <w:rFonts w:ascii="Arial" w:hAnsi="Arial"/>
          <w:sz w:val="20"/>
        </w:rPr>
        <w:t xml:space="preserve">повеќе од еден </w:t>
      </w:r>
      <w:r w:rsidR="00A3182B">
        <w:rPr>
          <w:rFonts w:ascii="Arial" w:hAnsi="Arial"/>
          <w:sz w:val="20"/>
        </w:rPr>
        <w:t xml:space="preserve">лек што се дава според потреба, оправдувањето зошто се користи повеќе од еден лек треба да е експлицитно и разбирливо за пациентот. </w:t>
      </w:r>
      <w:r w:rsidR="00CD243D">
        <w:rPr>
          <w:rFonts w:ascii="Arial" w:hAnsi="Arial"/>
          <w:sz w:val="20"/>
        </w:rPr>
        <w:t xml:space="preserve">Докторот треба редовно да ја следи </w:t>
      </w:r>
      <w:r w:rsidR="000446A9">
        <w:rPr>
          <w:rFonts w:ascii="Arial" w:hAnsi="Arial"/>
          <w:sz w:val="20"/>
        </w:rPr>
        <w:t>фреквенцијата</w:t>
      </w:r>
      <w:r w:rsidR="00ED697A">
        <w:rPr>
          <w:rFonts w:ascii="Arial" w:hAnsi="Arial"/>
          <w:sz w:val="20"/>
        </w:rPr>
        <w:t xml:space="preserve"> и ефикасноста на третманите к</w:t>
      </w:r>
      <w:r w:rsidR="00CD243D">
        <w:rPr>
          <w:rFonts w:ascii="Arial" w:hAnsi="Arial"/>
          <w:sz w:val="20"/>
        </w:rPr>
        <w:t xml:space="preserve">ои се според побарувањата и </w:t>
      </w:r>
      <w:r w:rsidR="00C5176D">
        <w:rPr>
          <w:rFonts w:ascii="Arial" w:hAnsi="Arial"/>
          <w:sz w:val="20"/>
        </w:rPr>
        <w:t xml:space="preserve">треба </w:t>
      </w:r>
      <w:r w:rsidR="00CD243D">
        <w:rPr>
          <w:rFonts w:ascii="Arial" w:hAnsi="Arial"/>
          <w:sz w:val="20"/>
        </w:rPr>
        <w:t>да се остварат редовни посети, а нивната зачестеност ќе зависи од текот на лечење</w:t>
      </w:r>
      <w:r w:rsidR="00C5176D">
        <w:rPr>
          <w:rFonts w:ascii="Arial" w:hAnsi="Arial"/>
          <w:sz w:val="20"/>
        </w:rPr>
        <w:t>то</w:t>
      </w:r>
      <w:r w:rsidR="00CD243D">
        <w:rPr>
          <w:rFonts w:ascii="Arial" w:hAnsi="Arial"/>
          <w:sz w:val="20"/>
        </w:rPr>
        <w:t xml:space="preserve"> на пациентот. </w:t>
      </w:r>
    </w:p>
    <w:p w:rsidR="00C5176D" w:rsidRDefault="00C5176D" w:rsidP="00D5302E">
      <w:pPr>
        <w:spacing w:after="0"/>
        <w:jc w:val="both"/>
        <w:rPr>
          <w:rFonts w:ascii="Arial" w:hAnsi="Arial"/>
          <w:sz w:val="20"/>
        </w:rPr>
      </w:pPr>
    </w:p>
    <w:p w:rsidR="008027D6" w:rsidRDefault="008027D6" w:rsidP="00D5302E">
      <w:pPr>
        <w:spacing w:after="0"/>
        <w:jc w:val="both"/>
        <w:rPr>
          <w:rFonts w:ascii="Arial" w:hAnsi="Arial"/>
          <w:sz w:val="20"/>
        </w:rPr>
      </w:pPr>
    </w:p>
    <w:p w:rsidR="008027D6" w:rsidRDefault="008027D6" w:rsidP="00D5302E">
      <w:pPr>
        <w:spacing w:after="0"/>
        <w:jc w:val="both"/>
        <w:rPr>
          <w:rFonts w:ascii="Arial" w:hAnsi="Arial"/>
          <w:sz w:val="20"/>
        </w:rPr>
      </w:pPr>
    </w:p>
    <w:p w:rsidR="008027D6" w:rsidRDefault="008027D6" w:rsidP="00D5302E">
      <w:pPr>
        <w:spacing w:after="0"/>
        <w:jc w:val="both"/>
        <w:rPr>
          <w:rFonts w:ascii="Arial" w:hAnsi="Arial"/>
          <w:sz w:val="20"/>
        </w:rPr>
      </w:pPr>
    </w:p>
    <w:p w:rsidR="008027D6" w:rsidRDefault="008027D6" w:rsidP="008027D6">
      <w:pPr>
        <w:spacing w:after="0"/>
        <w:rPr>
          <w:rFonts w:ascii="Arial" w:hAnsi="Arial"/>
          <w:b/>
        </w:rPr>
        <w:sectPr w:rsidR="008027D6" w:rsidSect="00F608AE">
          <w:endnotePr>
            <w:numFmt w:val="decimal"/>
          </w:endnotePr>
          <w:pgSz w:w="12240" w:h="15840"/>
          <w:pgMar w:top="1440" w:right="1440" w:bottom="1440" w:left="1440" w:header="720" w:footer="720" w:gutter="0"/>
          <w:cols w:num="2" w:space="720"/>
          <w:docGrid w:linePitch="360"/>
        </w:sectPr>
      </w:pPr>
    </w:p>
    <w:p w:rsidR="004F3C72" w:rsidRDefault="004F3C72" w:rsidP="008027D6">
      <w:pPr>
        <w:spacing w:after="0"/>
        <w:rPr>
          <w:rFonts w:ascii="Arial" w:hAnsi="Arial"/>
          <w:b/>
          <w:lang w:val="en-US"/>
        </w:rPr>
      </w:pPr>
    </w:p>
    <w:p w:rsidR="008027D6" w:rsidRPr="008027D6" w:rsidRDefault="008027D6" w:rsidP="008027D6">
      <w:pPr>
        <w:spacing w:after="0"/>
        <w:rPr>
          <w:rFonts w:ascii="Arial" w:hAnsi="Arial"/>
          <w:sz w:val="16"/>
        </w:rPr>
      </w:pPr>
      <w:bookmarkStart w:id="0" w:name="_GoBack"/>
      <w:bookmarkEnd w:id="0"/>
      <w:r w:rsidRPr="008027D6">
        <w:rPr>
          <w:rFonts w:ascii="Arial" w:hAnsi="Arial"/>
          <w:b/>
        </w:rPr>
        <w:lastRenderedPageBreak/>
        <w:t>ТАБЕЛА I.</w:t>
      </w:r>
      <w:r w:rsidRPr="008027D6">
        <w:rPr>
          <w:rFonts w:ascii="Arial" w:hAnsi="Arial"/>
        </w:rPr>
        <w:t xml:space="preserve"> Лекови за </w:t>
      </w:r>
      <w:r w:rsidRPr="008027D6">
        <w:rPr>
          <w:rFonts w:ascii="Arial" w:hAnsi="Arial"/>
          <w:i/>
        </w:rPr>
        <w:t>терапија по потреба</w:t>
      </w:r>
      <w:r w:rsidRPr="008027D6">
        <w:rPr>
          <w:rFonts w:ascii="Arial" w:hAnsi="Arial"/>
        </w:rPr>
        <w:t xml:space="preserve"> за третирање на ХАЕ</w:t>
      </w:r>
    </w:p>
    <w:tbl>
      <w:tblPr>
        <w:tblStyle w:val="TableGrid1"/>
        <w:tblW w:w="0" w:type="auto"/>
        <w:tblLook w:val="04A0" w:firstRow="1" w:lastRow="0" w:firstColumn="1" w:lastColumn="0" w:noHBand="0" w:noVBand="1"/>
      </w:tblPr>
      <w:tblGrid>
        <w:gridCol w:w="1513"/>
        <w:gridCol w:w="1337"/>
        <w:gridCol w:w="1255"/>
        <w:gridCol w:w="1253"/>
        <w:gridCol w:w="1293"/>
        <w:gridCol w:w="1340"/>
        <w:gridCol w:w="1585"/>
      </w:tblGrid>
      <w:tr w:rsidR="008027D6" w:rsidRPr="008027D6" w:rsidTr="008027D6">
        <w:tc>
          <w:tcPr>
            <w:tcW w:w="1513" w:type="dxa"/>
          </w:tcPr>
          <w:p w:rsidR="008027D6" w:rsidRPr="008027D6" w:rsidRDefault="008027D6" w:rsidP="008027D6">
            <w:pPr>
              <w:rPr>
                <w:rFonts w:ascii="Arial" w:hAnsi="Arial"/>
                <w:b/>
                <w:sz w:val="16"/>
                <w:szCs w:val="20"/>
              </w:rPr>
            </w:pPr>
            <w:r w:rsidRPr="008027D6">
              <w:rPr>
                <w:rFonts w:ascii="Arial" w:hAnsi="Arial"/>
                <w:b/>
                <w:sz w:val="16"/>
                <w:szCs w:val="20"/>
              </w:rPr>
              <w:t>Генеричко име</w:t>
            </w:r>
          </w:p>
          <w:p w:rsidR="008027D6" w:rsidRPr="008027D6" w:rsidRDefault="008027D6" w:rsidP="008027D6">
            <w:pPr>
              <w:rPr>
                <w:rFonts w:ascii="Arial" w:hAnsi="Arial"/>
                <w:b/>
                <w:sz w:val="16"/>
                <w:szCs w:val="20"/>
              </w:rPr>
            </w:pPr>
            <w:r w:rsidRPr="008027D6">
              <w:rPr>
                <w:rFonts w:ascii="Arial" w:hAnsi="Arial"/>
                <w:b/>
                <w:sz w:val="16"/>
                <w:szCs w:val="20"/>
              </w:rPr>
              <w:t>(трговско име, компанија)</w:t>
            </w:r>
          </w:p>
        </w:tc>
        <w:tc>
          <w:tcPr>
            <w:tcW w:w="1337" w:type="dxa"/>
          </w:tcPr>
          <w:p w:rsidR="008027D6" w:rsidRPr="008027D6" w:rsidRDefault="008027D6" w:rsidP="008027D6">
            <w:pPr>
              <w:rPr>
                <w:rFonts w:ascii="Arial" w:hAnsi="Arial"/>
                <w:b/>
                <w:sz w:val="16"/>
              </w:rPr>
            </w:pPr>
            <w:r w:rsidRPr="008027D6">
              <w:rPr>
                <w:rFonts w:ascii="Arial" w:hAnsi="Arial"/>
                <w:b/>
                <w:sz w:val="16"/>
              </w:rPr>
              <w:t>Статус на одобрување на АХЛ</w:t>
            </w:r>
          </w:p>
        </w:tc>
        <w:tc>
          <w:tcPr>
            <w:tcW w:w="1255" w:type="dxa"/>
          </w:tcPr>
          <w:p w:rsidR="008027D6" w:rsidRPr="008027D6" w:rsidRDefault="008027D6" w:rsidP="008027D6">
            <w:pPr>
              <w:rPr>
                <w:rFonts w:ascii="Arial" w:hAnsi="Arial"/>
                <w:b/>
                <w:sz w:val="16"/>
              </w:rPr>
            </w:pPr>
            <w:r w:rsidRPr="008027D6">
              <w:rPr>
                <w:rFonts w:ascii="Arial" w:hAnsi="Arial"/>
                <w:b/>
                <w:sz w:val="16"/>
              </w:rPr>
              <w:t>Дозирање</w:t>
            </w:r>
          </w:p>
        </w:tc>
        <w:tc>
          <w:tcPr>
            <w:tcW w:w="1253" w:type="dxa"/>
          </w:tcPr>
          <w:p w:rsidR="008027D6" w:rsidRPr="008027D6" w:rsidRDefault="008027D6" w:rsidP="008027D6">
            <w:pPr>
              <w:rPr>
                <w:rFonts w:ascii="Arial" w:hAnsi="Arial"/>
                <w:b/>
                <w:sz w:val="16"/>
              </w:rPr>
            </w:pPr>
            <w:r w:rsidRPr="008027D6">
              <w:rPr>
                <w:rFonts w:ascii="Arial" w:hAnsi="Arial"/>
                <w:b/>
                <w:sz w:val="16"/>
              </w:rPr>
              <w:t>Механизам</w:t>
            </w:r>
          </w:p>
        </w:tc>
        <w:tc>
          <w:tcPr>
            <w:tcW w:w="1293" w:type="dxa"/>
          </w:tcPr>
          <w:p w:rsidR="008027D6" w:rsidRPr="008027D6" w:rsidRDefault="008027D6" w:rsidP="008027D6">
            <w:pPr>
              <w:rPr>
                <w:rFonts w:ascii="Arial" w:hAnsi="Arial"/>
                <w:b/>
                <w:sz w:val="16"/>
              </w:rPr>
            </w:pPr>
            <w:r w:rsidRPr="008027D6">
              <w:rPr>
                <w:rFonts w:ascii="Arial" w:hAnsi="Arial"/>
                <w:b/>
                <w:sz w:val="16"/>
              </w:rPr>
              <w:t>Ефикасност</w:t>
            </w:r>
          </w:p>
        </w:tc>
        <w:tc>
          <w:tcPr>
            <w:tcW w:w="1340" w:type="dxa"/>
          </w:tcPr>
          <w:p w:rsidR="008027D6" w:rsidRPr="008027D6" w:rsidRDefault="008027D6" w:rsidP="008027D6">
            <w:pPr>
              <w:rPr>
                <w:rFonts w:ascii="Arial" w:hAnsi="Arial"/>
                <w:b/>
                <w:sz w:val="16"/>
              </w:rPr>
            </w:pPr>
            <w:r w:rsidRPr="008027D6">
              <w:rPr>
                <w:rFonts w:ascii="Arial" w:hAnsi="Arial"/>
                <w:b/>
                <w:sz w:val="16"/>
              </w:rPr>
              <w:t>Складирање</w:t>
            </w:r>
          </w:p>
        </w:tc>
        <w:tc>
          <w:tcPr>
            <w:tcW w:w="1585" w:type="dxa"/>
          </w:tcPr>
          <w:p w:rsidR="008027D6" w:rsidRPr="008027D6" w:rsidRDefault="008027D6" w:rsidP="008027D6">
            <w:pPr>
              <w:rPr>
                <w:rFonts w:ascii="Arial" w:hAnsi="Arial"/>
                <w:b/>
                <w:sz w:val="16"/>
              </w:rPr>
            </w:pPr>
            <w:r w:rsidRPr="008027D6">
              <w:rPr>
                <w:rFonts w:ascii="Arial" w:hAnsi="Arial"/>
                <w:b/>
                <w:sz w:val="16"/>
              </w:rPr>
              <w:t>Предвидени потенцијални негативни ефекти</w:t>
            </w: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Понови</w:t>
            </w:r>
          </w:p>
        </w:tc>
        <w:tc>
          <w:tcPr>
            <w:tcW w:w="1337" w:type="dxa"/>
          </w:tcPr>
          <w:p w:rsidR="008027D6" w:rsidRPr="008027D6" w:rsidRDefault="008027D6" w:rsidP="008027D6">
            <w:pPr>
              <w:rPr>
                <w:rFonts w:ascii="Arial" w:hAnsi="Arial"/>
                <w:sz w:val="16"/>
              </w:rPr>
            </w:pPr>
          </w:p>
        </w:tc>
        <w:tc>
          <w:tcPr>
            <w:tcW w:w="1255" w:type="dxa"/>
          </w:tcPr>
          <w:p w:rsidR="008027D6" w:rsidRPr="008027D6" w:rsidRDefault="008027D6" w:rsidP="008027D6">
            <w:pPr>
              <w:rPr>
                <w:rFonts w:ascii="Arial" w:hAnsi="Arial"/>
                <w:sz w:val="16"/>
              </w:rPr>
            </w:pPr>
          </w:p>
        </w:tc>
        <w:tc>
          <w:tcPr>
            <w:tcW w:w="1253" w:type="dxa"/>
          </w:tcPr>
          <w:p w:rsidR="008027D6" w:rsidRPr="008027D6" w:rsidRDefault="008027D6" w:rsidP="008027D6">
            <w:pPr>
              <w:rPr>
                <w:rFonts w:ascii="Arial" w:hAnsi="Arial"/>
                <w:sz w:val="16"/>
              </w:rPr>
            </w:pPr>
          </w:p>
        </w:tc>
        <w:tc>
          <w:tcPr>
            <w:tcW w:w="1293" w:type="dxa"/>
          </w:tcPr>
          <w:p w:rsidR="008027D6" w:rsidRPr="008027D6" w:rsidRDefault="008027D6" w:rsidP="008027D6">
            <w:pPr>
              <w:rPr>
                <w:rFonts w:ascii="Arial" w:hAnsi="Arial"/>
                <w:sz w:val="16"/>
              </w:rPr>
            </w:pPr>
          </w:p>
        </w:tc>
        <w:tc>
          <w:tcPr>
            <w:tcW w:w="1340" w:type="dxa"/>
          </w:tcPr>
          <w:p w:rsidR="008027D6" w:rsidRPr="008027D6" w:rsidRDefault="008027D6" w:rsidP="008027D6">
            <w:pPr>
              <w:rPr>
                <w:rFonts w:ascii="Arial" w:hAnsi="Arial"/>
                <w:sz w:val="16"/>
              </w:rPr>
            </w:pPr>
          </w:p>
        </w:tc>
        <w:tc>
          <w:tcPr>
            <w:tcW w:w="1585" w:type="dxa"/>
          </w:tcPr>
          <w:p w:rsidR="008027D6" w:rsidRPr="008027D6" w:rsidRDefault="008027D6" w:rsidP="008027D6">
            <w:pPr>
              <w:rPr>
                <w:rFonts w:ascii="Arial" w:hAnsi="Arial"/>
                <w:sz w:val="16"/>
              </w:rPr>
            </w:pP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C1INH добиен од плазма (Беринерт, „ЦСЛ Беринг“, Кралот на Прусија, Пенсилванија)</w:t>
            </w:r>
          </w:p>
        </w:tc>
        <w:tc>
          <w:tcPr>
            <w:tcW w:w="1337" w:type="dxa"/>
          </w:tcPr>
          <w:p w:rsidR="008027D6" w:rsidRPr="008027D6" w:rsidRDefault="008027D6" w:rsidP="008027D6">
            <w:pPr>
              <w:rPr>
                <w:rFonts w:ascii="Arial" w:hAnsi="Arial"/>
                <w:sz w:val="16"/>
              </w:rPr>
            </w:pPr>
            <w:r w:rsidRPr="008027D6">
              <w:rPr>
                <w:rFonts w:ascii="Arial" w:hAnsi="Arial"/>
                <w:sz w:val="16"/>
              </w:rPr>
              <w:t>Одобрен за акутни напади кај возрасни и адолесценти</w:t>
            </w:r>
          </w:p>
        </w:tc>
        <w:tc>
          <w:tcPr>
            <w:tcW w:w="1255" w:type="dxa"/>
          </w:tcPr>
          <w:p w:rsidR="008027D6" w:rsidRPr="008027D6" w:rsidRDefault="008027D6" w:rsidP="008027D6">
            <w:pPr>
              <w:rPr>
                <w:rFonts w:ascii="Arial" w:hAnsi="Arial"/>
                <w:sz w:val="16"/>
              </w:rPr>
            </w:pPr>
            <w:r w:rsidRPr="008027D6">
              <w:rPr>
                <w:rFonts w:ascii="Arial" w:hAnsi="Arial"/>
                <w:sz w:val="16"/>
              </w:rPr>
              <w:t>20 U/kg интравенски</w:t>
            </w:r>
          </w:p>
        </w:tc>
        <w:tc>
          <w:tcPr>
            <w:tcW w:w="1253" w:type="dxa"/>
          </w:tcPr>
          <w:p w:rsidR="008027D6" w:rsidRPr="008027D6" w:rsidRDefault="008027D6" w:rsidP="008027D6">
            <w:pPr>
              <w:rPr>
                <w:rFonts w:ascii="Arial" w:hAnsi="Arial"/>
                <w:sz w:val="16"/>
              </w:rPr>
            </w:pPr>
            <w:r w:rsidRPr="008027D6">
              <w:rPr>
                <w:rFonts w:ascii="Arial" w:hAnsi="Arial"/>
                <w:sz w:val="16"/>
              </w:rPr>
              <w:t xml:space="preserve">Го инхибира каликреинот на плазмата, фактори на коагулација XIIа и </w:t>
            </w:r>
            <w:proofErr w:type="spellStart"/>
            <w:r w:rsidRPr="008027D6">
              <w:rPr>
                <w:rFonts w:ascii="Arial" w:hAnsi="Arial"/>
                <w:sz w:val="16"/>
              </w:rPr>
              <w:t>XIa</w:t>
            </w:r>
            <w:proofErr w:type="spellEnd"/>
            <w:r w:rsidRPr="008027D6">
              <w:rPr>
                <w:rFonts w:ascii="Arial" w:hAnsi="Arial"/>
                <w:sz w:val="16"/>
              </w:rPr>
              <w:t>, C1s, C1r, MASP-1, MASP-2 и плазмин</w:t>
            </w:r>
          </w:p>
        </w:tc>
        <w:tc>
          <w:tcPr>
            <w:tcW w:w="1293" w:type="dxa"/>
          </w:tcPr>
          <w:p w:rsidR="008027D6" w:rsidRPr="008027D6" w:rsidRDefault="008027D6" w:rsidP="008027D6">
            <w:pPr>
              <w:rPr>
                <w:rFonts w:ascii="Arial" w:hAnsi="Arial"/>
                <w:sz w:val="16"/>
              </w:rPr>
            </w:pPr>
            <w:r w:rsidRPr="008027D6">
              <w:rPr>
                <w:rFonts w:ascii="Arial" w:hAnsi="Arial"/>
                <w:sz w:val="16"/>
              </w:rPr>
              <w:t>+++</w:t>
            </w:r>
          </w:p>
        </w:tc>
        <w:tc>
          <w:tcPr>
            <w:tcW w:w="1340" w:type="dxa"/>
          </w:tcPr>
          <w:p w:rsidR="008027D6" w:rsidRPr="008027D6" w:rsidRDefault="008027D6" w:rsidP="008027D6">
            <w:pPr>
              <w:rPr>
                <w:rFonts w:ascii="Arial" w:hAnsi="Arial"/>
                <w:sz w:val="16"/>
              </w:rPr>
            </w:pPr>
            <w:r w:rsidRPr="008027D6">
              <w:rPr>
                <w:rFonts w:ascii="Arial" w:hAnsi="Arial"/>
                <w:sz w:val="16"/>
              </w:rPr>
              <w:t>Се складира  меѓу 2</w:t>
            </w:r>
            <w:r w:rsidRPr="008027D6">
              <w:rPr>
                <w:rFonts w:ascii="Arial" w:hAnsi="Arial"/>
                <w:sz w:val="16"/>
                <w:vertAlign w:val="superscript"/>
              </w:rPr>
              <w:t>о</w:t>
            </w:r>
            <w:r w:rsidRPr="008027D6">
              <w:rPr>
                <w:rFonts w:ascii="Arial" w:hAnsi="Arial"/>
                <w:sz w:val="16"/>
              </w:rPr>
              <w:t>C и 25</w:t>
            </w:r>
            <w:r w:rsidRPr="008027D6">
              <w:rPr>
                <w:rFonts w:ascii="Arial" w:hAnsi="Arial"/>
                <w:sz w:val="16"/>
                <w:vertAlign w:val="superscript"/>
              </w:rPr>
              <w:t>0</w:t>
            </w:r>
            <w:r w:rsidRPr="008027D6">
              <w:rPr>
                <w:rFonts w:ascii="Arial" w:hAnsi="Arial"/>
                <w:sz w:val="16"/>
              </w:rPr>
              <w:t>C, стабилно до 30 месеци</w:t>
            </w:r>
          </w:p>
        </w:tc>
        <w:tc>
          <w:tcPr>
            <w:tcW w:w="1585" w:type="dxa"/>
          </w:tcPr>
          <w:p w:rsidR="008027D6" w:rsidRPr="008027D6" w:rsidRDefault="008027D6" w:rsidP="008027D6">
            <w:pPr>
              <w:rPr>
                <w:rFonts w:ascii="Arial" w:hAnsi="Arial"/>
                <w:sz w:val="16"/>
              </w:rPr>
            </w:pPr>
            <w:r w:rsidRPr="008027D6">
              <w:rPr>
                <w:rFonts w:ascii="Arial" w:hAnsi="Arial"/>
                <w:sz w:val="16"/>
              </w:rPr>
              <w:t>Ретко: ризик од анафилакса; теоретски: пренос на инфективни причинители</w:t>
            </w: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C1INH добиен од плазма (Цинриз; „Вирофарма“, Екстон, Пенсилванија)</w:t>
            </w:r>
          </w:p>
        </w:tc>
        <w:tc>
          <w:tcPr>
            <w:tcW w:w="1337" w:type="dxa"/>
          </w:tcPr>
          <w:p w:rsidR="008027D6" w:rsidRPr="008027D6" w:rsidRDefault="008027D6" w:rsidP="008027D6">
            <w:pPr>
              <w:rPr>
                <w:rFonts w:ascii="Arial" w:hAnsi="Arial"/>
                <w:sz w:val="16"/>
              </w:rPr>
            </w:pPr>
            <w:r w:rsidRPr="008027D6">
              <w:rPr>
                <w:rFonts w:ascii="Arial" w:hAnsi="Arial"/>
                <w:sz w:val="16"/>
              </w:rPr>
              <w:t xml:space="preserve">Не е одобрен од АХЛ за </w:t>
            </w:r>
            <w:r w:rsidRPr="008027D6">
              <w:rPr>
                <w:rFonts w:ascii="Arial" w:hAnsi="Arial"/>
                <w:i/>
                <w:sz w:val="16"/>
              </w:rPr>
              <w:t>третман според потреба</w:t>
            </w:r>
          </w:p>
        </w:tc>
        <w:tc>
          <w:tcPr>
            <w:tcW w:w="1255" w:type="dxa"/>
          </w:tcPr>
          <w:p w:rsidR="008027D6" w:rsidRPr="008027D6" w:rsidRDefault="008027D6" w:rsidP="008027D6">
            <w:pPr>
              <w:rPr>
                <w:rFonts w:ascii="Arial" w:hAnsi="Arial"/>
                <w:sz w:val="16"/>
              </w:rPr>
            </w:pPr>
            <w:r w:rsidRPr="008027D6">
              <w:rPr>
                <w:rFonts w:ascii="Arial" w:hAnsi="Arial"/>
                <w:sz w:val="16"/>
              </w:rPr>
              <w:t>1000 U</w:t>
            </w:r>
          </w:p>
          <w:p w:rsidR="008027D6" w:rsidRPr="008027D6" w:rsidRDefault="008027D6" w:rsidP="008027D6">
            <w:pPr>
              <w:rPr>
                <w:rFonts w:ascii="Arial" w:hAnsi="Arial"/>
                <w:sz w:val="16"/>
              </w:rPr>
            </w:pPr>
            <w:r w:rsidRPr="008027D6">
              <w:rPr>
                <w:rFonts w:ascii="Arial" w:hAnsi="Arial"/>
                <w:sz w:val="16"/>
              </w:rPr>
              <w:t>интравенски</w:t>
            </w:r>
          </w:p>
        </w:tc>
        <w:tc>
          <w:tcPr>
            <w:tcW w:w="1253" w:type="dxa"/>
          </w:tcPr>
          <w:p w:rsidR="008027D6" w:rsidRPr="008027D6" w:rsidRDefault="008027D6" w:rsidP="008027D6">
            <w:pPr>
              <w:rPr>
                <w:rFonts w:ascii="Arial" w:hAnsi="Arial"/>
                <w:sz w:val="16"/>
              </w:rPr>
            </w:pPr>
            <w:r w:rsidRPr="008027D6">
              <w:rPr>
                <w:rFonts w:ascii="Arial" w:hAnsi="Arial"/>
                <w:sz w:val="16"/>
              </w:rPr>
              <w:t>(Исто како погоре)</w:t>
            </w:r>
          </w:p>
        </w:tc>
        <w:tc>
          <w:tcPr>
            <w:tcW w:w="1293" w:type="dxa"/>
          </w:tcPr>
          <w:p w:rsidR="008027D6" w:rsidRPr="008027D6" w:rsidRDefault="008027D6" w:rsidP="008027D6">
            <w:pPr>
              <w:rPr>
                <w:rFonts w:ascii="Arial" w:hAnsi="Arial"/>
                <w:sz w:val="16"/>
              </w:rPr>
            </w:pPr>
            <w:r w:rsidRPr="008027D6">
              <w:rPr>
                <w:rFonts w:ascii="Arial" w:hAnsi="Arial"/>
                <w:sz w:val="16"/>
              </w:rPr>
              <w:t>+++</w:t>
            </w:r>
          </w:p>
        </w:tc>
        <w:tc>
          <w:tcPr>
            <w:tcW w:w="1340" w:type="dxa"/>
          </w:tcPr>
          <w:p w:rsidR="008027D6" w:rsidRPr="008027D6" w:rsidRDefault="008027D6" w:rsidP="008027D6">
            <w:pPr>
              <w:rPr>
                <w:rFonts w:ascii="Arial" w:hAnsi="Arial"/>
                <w:sz w:val="16"/>
              </w:rPr>
            </w:pPr>
            <w:r w:rsidRPr="008027D6">
              <w:rPr>
                <w:rFonts w:ascii="Arial" w:hAnsi="Arial"/>
                <w:sz w:val="16"/>
              </w:rPr>
              <w:t>Се складира  меѓу 2</w:t>
            </w:r>
            <w:r w:rsidRPr="008027D6">
              <w:rPr>
                <w:rFonts w:ascii="Arial" w:hAnsi="Arial"/>
                <w:sz w:val="16"/>
                <w:vertAlign w:val="superscript"/>
              </w:rPr>
              <w:t>о</w:t>
            </w:r>
            <w:r w:rsidRPr="008027D6">
              <w:rPr>
                <w:rFonts w:ascii="Arial" w:hAnsi="Arial"/>
                <w:sz w:val="16"/>
              </w:rPr>
              <w:t>C и 25</w:t>
            </w:r>
            <w:r w:rsidRPr="008027D6">
              <w:rPr>
                <w:rFonts w:ascii="Arial" w:hAnsi="Arial"/>
                <w:sz w:val="16"/>
                <w:vertAlign w:val="superscript"/>
              </w:rPr>
              <w:t>0</w:t>
            </w:r>
            <w:r w:rsidRPr="008027D6">
              <w:rPr>
                <w:rFonts w:ascii="Arial" w:hAnsi="Arial"/>
                <w:sz w:val="16"/>
              </w:rPr>
              <w:t>C</w:t>
            </w:r>
          </w:p>
        </w:tc>
        <w:tc>
          <w:tcPr>
            <w:tcW w:w="1585" w:type="dxa"/>
          </w:tcPr>
          <w:p w:rsidR="008027D6" w:rsidRPr="008027D6" w:rsidRDefault="008027D6" w:rsidP="008027D6">
            <w:pPr>
              <w:rPr>
                <w:rFonts w:ascii="Arial" w:hAnsi="Arial"/>
                <w:sz w:val="16"/>
              </w:rPr>
            </w:pPr>
            <w:r w:rsidRPr="008027D6">
              <w:rPr>
                <w:rFonts w:ascii="Arial" w:hAnsi="Arial"/>
                <w:sz w:val="16"/>
              </w:rPr>
              <w:t>Ретко: ризик од анафилакса или тромбоза; теоретски: пренос на инфективни причинители</w:t>
            </w: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Рекомбинантен човечки C1INH (руцин, руконест, „Сантарус“, Сан Диего, Калифорнија)</w:t>
            </w:r>
          </w:p>
        </w:tc>
        <w:tc>
          <w:tcPr>
            <w:tcW w:w="1337" w:type="dxa"/>
          </w:tcPr>
          <w:p w:rsidR="008027D6" w:rsidRPr="008027D6" w:rsidRDefault="008027D6" w:rsidP="008027D6">
            <w:pPr>
              <w:rPr>
                <w:rFonts w:ascii="Arial" w:hAnsi="Arial"/>
                <w:sz w:val="16"/>
              </w:rPr>
            </w:pPr>
            <w:r w:rsidRPr="008027D6">
              <w:rPr>
                <w:rFonts w:ascii="Arial" w:hAnsi="Arial"/>
                <w:sz w:val="16"/>
              </w:rPr>
              <w:t xml:space="preserve">Не е одобрен од АХЛ за </w:t>
            </w:r>
            <w:r w:rsidRPr="008027D6">
              <w:rPr>
                <w:rFonts w:ascii="Arial" w:hAnsi="Arial"/>
                <w:i/>
                <w:sz w:val="16"/>
              </w:rPr>
              <w:t>третман според потреба</w:t>
            </w:r>
          </w:p>
        </w:tc>
        <w:tc>
          <w:tcPr>
            <w:tcW w:w="1255" w:type="dxa"/>
          </w:tcPr>
          <w:p w:rsidR="008027D6" w:rsidRPr="008027D6" w:rsidRDefault="008027D6" w:rsidP="008027D6">
            <w:pPr>
              <w:rPr>
                <w:rFonts w:ascii="Arial" w:hAnsi="Arial"/>
                <w:sz w:val="16"/>
              </w:rPr>
            </w:pPr>
            <w:r w:rsidRPr="008027D6">
              <w:rPr>
                <w:rFonts w:ascii="Arial" w:hAnsi="Arial"/>
                <w:sz w:val="16"/>
              </w:rPr>
              <w:t>50 U/kg интравенски</w:t>
            </w:r>
          </w:p>
        </w:tc>
        <w:tc>
          <w:tcPr>
            <w:tcW w:w="1253" w:type="dxa"/>
          </w:tcPr>
          <w:p w:rsidR="008027D6" w:rsidRPr="008027D6" w:rsidRDefault="008027D6" w:rsidP="008027D6">
            <w:pPr>
              <w:rPr>
                <w:rFonts w:ascii="Arial" w:hAnsi="Arial"/>
                <w:sz w:val="16"/>
              </w:rPr>
            </w:pPr>
            <w:r w:rsidRPr="008027D6">
              <w:rPr>
                <w:rFonts w:ascii="Arial" w:hAnsi="Arial"/>
                <w:sz w:val="16"/>
              </w:rPr>
              <w:t>(Исто како погоре)</w:t>
            </w:r>
          </w:p>
        </w:tc>
        <w:tc>
          <w:tcPr>
            <w:tcW w:w="1293" w:type="dxa"/>
          </w:tcPr>
          <w:p w:rsidR="008027D6" w:rsidRPr="008027D6" w:rsidRDefault="008027D6" w:rsidP="008027D6">
            <w:pPr>
              <w:rPr>
                <w:rFonts w:ascii="Arial" w:hAnsi="Arial"/>
                <w:sz w:val="16"/>
              </w:rPr>
            </w:pPr>
            <w:r w:rsidRPr="008027D6">
              <w:rPr>
                <w:rFonts w:ascii="Arial" w:hAnsi="Arial"/>
                <w:sz w:val="16"/>
              </w:rPr>
              <w:t>+++</w:t>
            </w:r>
          </w:p>
        </w:tc>
        <w:tc>
          <w:tcPr>
            <w:tcW w:w="1340" w:type="dxa"/>
          </w:tcPr>
          <w:p w:rsidR="008027D6" w:rsidRPr="008027D6" w:rsidRDefault="008027D6" w:rsidP="008027D6">
            <w:pPr>
              <w:rPr>
                <w:rFonts w:ascii="Arial" w:hAnsi="Arial"/>
                <w:sz w:val="16"/>
              </w:rPr>
            </w:pPr>
            <w:r w:rsidRPr="008027D6">
              <w:rPr>
                <w:rFonts w:ascii="Arial" w:hAnsi="Arial"/>
                <w:sz w:val="16"/>
              </w:rPr>
              <w:t>Се складира  меѓу 2</w:t>
            </w:r>
            <w:r w:rsidRPr="008027D6">
              <w:rPr>
                <w:rFonts w:ascii="Arial" w:hAnsi="Arial"/>
                <w:sz w:val="16"/>
                <w:vertAlign w:val="superscript"/>
              </w:rPr>
              <w:t>о</w:t>
            </w:r>
            <w:r w:rsidRPr="008027D6">
              <w:rPr>
                <w:rFonts w:ascii="Arial" w:hAnsi="Arial"/>
                <w:sz w:val="16"/>
              </w:rPr>
              <w:t>C и 25</w:t>
            </w:r>
            <w:r w:rsidRPr="008027D6">
              <w:rPr>
                <w:rFonts w:ascii="Arial" w:hAnsi="Arial"/>
                <w:sz w:val="16"/>
                <w:vertAlign w:val="superscript"/>
              </w:rPr>
              <w:t>0</w:t>
            </w:r>
            <w:r w:rsidRPr="008027D6">
              <w:rPr>
                <w:rFonts w:ascii="Arial" w:hAnsi="Arial"/>
                <w:sz w:val="16"/>
              </w:rPr>
              <w:t>C, стабилно до 4 години</w:t>
            </w:r>
          </w:p>
        </w:tc>
        <w:tc>
          <w:tcPr>
            <w:tcW w:w="1585" w:type="dxa"/>
          </w:tcPr>
          <w:p w:rsidR="008027D6" w:rsidRPr="008027D6" w:rsidRDefault="008027D6" w:rsidP="008027D6">
            <w:pPr>
              <w:rPr>
                <w:rFonts w:ascii="Arial" w:hAnsi="Arial"/>
                <w:sz w:val="16"/>
              </w:rPr>
            </w:pPr>
            <w:r w:rsidRPr="008027D6">
              <w:rPr>
                <w:rFonts w:ascii="Arial" w:hAnsi="Arial"/>
                <w:sz w:val="16"/>
              </w:rPr>
              <w:t>Ретко: ризик од анафилакса</w:t>
            </w: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Екалантид</w:t>
            </w:r>
          </w:p>
          <w:p w:rsidR="008027D6" w:rsidRPr="008027D6" w:rsidRDefault="008027D6" w:rsidP="008027D6">
            <w:pPr>
              <w:rPr>
                <w:rFonts w:ascii="Arial" w:hAnsi="Arial"/>
                <w:sz w:val="16"/>
              </w:rPr>
            </w:pPr>
            <w:r w:rsidRPr="008027D6">
              <w:rPr>
                <w:rFonts w:ascii="Arial" w:hAnsi="Arial"/>
                <w:sz w:val="16"/>
              </w:rPr>
              <w:t>(Калбитор, „Дајакс“, Бирлингтон, Масачусетс)</w:t>
            </w:r>
          </w:p>
        </w:tc>
        <w:tc>
          <w:tcPr>
            <w:tcW w:w="1337" w:type="dxa"/>
          </w:tcPr>
          <w:p w:rsidR="008027D6" w:rsidRPr="008027D6" w:rsidRDefault="008027D6" w:rsidP="008027D6">
            <w:pPr>
              <w:rPr>
                <w:rFonts w:ascii="Arial" w:hAnsi="Arial"/>
                <w:sz w:val="16"/>
              </w:rPr>
            </w:pPr>
            <w:r w:rsidRPr="008027D6">
              <w:rPr>
                <w:rFonts w:ascii="Arial" w:hAnsi="Arial"/>
                <w:sz w:val="16"/>
              </w:rPr>
              <w:t xml:space="preserve">Одобрен за акутни напади кај пациентите </w:t>
            </w:r>
            <w:r w:rsidRPr="008027D6">
              <w:rPr>
                <w:rFonts w:ascii="Arial" w:hAnsi="Arial"/>
                <w:sz w:val="16"/>
                <w:u w:val="single"/>
              </w:rPr>
              <w:t>&gt;</w:t>
            </w:r>
            <w:r w:rsidRPr="008027D6">
              <w:rPr>
                <w:rFonts w:ascii="Arial" w:hAnsi="Arial"/>
                <w:sz w:val="16"/>
              </w:rPr>
              <w:t xml:space="preserve"> 16 години </w:t>
            </w:r>
          </w:p>
        </w:tc>
        <w:tc>
          <w:tcPr>
            <w:tcW w:w="1255" w:type="dxa"/>
          </w:tcPr>
          <w:p w:rsidR="008027D6" w:rsidRPr="008027D6" w:rsidRDefault="008027D6" w:rsidP="008027D6">
            <w:pPr>
              <w:rPr>
                <w:rFonts w:ascii="Arial" w:hAnsi="Arial"/>
                <w:sz w:val="16"/>
              </w:rPr>
            </w:pPr>
            <w:r w:rsidRPr="008027D6">
              <w:rPr>
                <w:rFonts w:ascii="Arial" w:hAnsi="Arial"/>
                <w:sz w:val="16"/>
              </w:rPr>
              <w:t>30mg</w:t>
            </w:r>
          </w:p>
          <w:p w:rsidR="008027D6" w:rsidRPr="008027D6" w:rsidRDefault="008027D6" w:rsidP="008027D6">
            <w:pPr>
              <w:rPr>
                <w:rFonts w:ascii="Arial" w:hAnsi="Arial"/>
                <w:sz w:val="16"/>
              </w:rPr>
            </w:pPr>
            <w:r w:rsidRPr="008027D6">
              <w:rPr>
                <w:rFonts w:ascii="Arial" w:hAnsi="Arial"/>
                <w:sz w:val="16"/>
              </w:rPr>
              <w:t>супкутано</w:t>
            </w:r>
          </w:p>
        </w:tc>
        <w:tc>
          <w:tcPr>
            <w:tcW w:w="1253" w:type="dxa"/>
          </w:tcPr>
          <w:p w:rsidR="008027D6" w:rsidRPr="008027D6" w:rsidRDefault="008027D6" w:rsidP="008027D6">
            <w:pPr>
              <w:rPr>
                <w:rFonts w:ascii="Arial" w:hAnsi="Arial"/>
                <w:sz w:val="16"/>
              </w:rPr>
            </w:pPr>
            <w:r w:rsidRPr="008027D6">
              <w:rPr>
                <w:rFonts w:ascii="Arial" w:hAnsi="Arial"/>
                <w:sz w:val="16"/>
              </w:rPr>
              <w:t>Го инхибира каликреинот од плазмата</w:t>
            </w:r>
          </w:p>
        </w:tc>
        <w:tc>
          <w:tcPr>
            <w:tcW w:w="1293" w:type="dxa"/>
          </w:tcPr>
          <w:p w:rsidR="008027D6" w:rsidRPr="008027D6" w:rsidRDefault="008027D6" w:rsidP="008027D6">
            <w:pPr>
              <w:rPr>
                <w:rFonts w:ascii="Arial" w:hAnsi="Arial"/>
                <w:sz w:val="16"/>
              </w:rPr>
            </w:pPr>
            <w:r w:rsidRPr="008027D6">
              <w:rPr>
                <w:rFonts w:ascii="Arial" w:hAnsi="Arial"/>
                <w:sz w:val="16"/>
              </w:rPr>
              <w:t>+++</w:t>
            </w:r>
          </w:p>
        </w:tc>
        <w:tc>
          <w:tcPr>
            <w:tcW w:w="1340" w:type="dxa"/>
          </w:tcPr>
          <w:p w:rsidR="008027D6" w:rsidRPr="008027D6" w:rsidRDefault="008027D6" w:rsidP="008027D6">
            <w:pPr>
              <w:rPr>
                <w:rFonts w:ascii="Arial" w:hAnsi="Arial"/>
                <w:sz w:val="16"/>
              </w:rPr>
            </w:pPr>
            <w:r w:rsidRPr="008027D6">
              <w:rPr>
                <w:rFonts w:ascii="Arial" w:hAnsi="Arial"/>
                <w:sz w:val="16"/>
              </w:rPr>
              <w:t>Се складира  меѓу 2</w:t>
            </w:r>
            <w:r w:rsidRPr="008027D6">
              <w:rPr>
                <w:rFonts w:ascii="Arial" w:hAnsi="Arial"/>
                <w:sz w:val="16"/>
                <w:vertAlign w:val="superscript"/>
              </w:rPr>
              <w:t>о</w:t>
            </w:r>
            <w:r w:rsidRPr="008027D6">
              <w:rPr>
                <w:rFonts w:ascii="Arial" w:hAnsi="Arial"/>
                <w:sz w:val="16"/>
              </w:rPr>
              <w:t>C и 8</w:t>
            </w:r>
            <w:r w:rsidRPr="008027D6">
              <w:rPr>
                <w:rFonts w:ascii="Arial" w:hAnsi="Arial"/>
                <w:sz w:val="16"/>
                <w:vertAlign w:val="superscript"/>
              </w:rPr>
              <w:t>0</w:t>
            </w:r>
            <w:r w:rsidRPr="008027D6">
              <w:rPr>
                <w:rFonts w:ascii="Arial" w:hAnsi="Arial"/>
                <w:sz w:val="16"/>
              </w:rPr>
              <w:t>C, стабилен до 36 месеци</w:t>
            </w:r>
          </w:p>
        </w:tc>
        <w:tc>
          <w:tcPr>
            <w:tcW w:w="1585" w:type="dxa"/>
          </w:tcPr>
          <w:p w:rsidR="008027D6" w:rsidRPr="008027D6" w:rsidRDefault="008027D6" w:rsidP="008027D6">
            <w:pPr>
              <w:rPr>
                <w:rFonts w:ascii="Arial" w:hAnsi="Arial"/>
                <w:sz w:val="16"/>
              </w:rPr>
            </w:pPr>
            <w:r w:rsidRPr="008027D6">
              <w:rPr>
                <w:rFonts w:ascii="Arial" w:hAnsi="Arial"/>
                <w:sz w:val="16"/>
              </w:rPr>
              <w:t>Вообичаено: продолжено PTT</w:t>
            </w:r>
          </w:p>
          <w:p w:rsidR="008027D6" w:rsidRPr="008027D6" w:rsidRDefault="008027D6" w:rsidP="008027D6">
            <w:pPr>
              <w:rPr>
                <w:rFonts w:ascii="Arial" w:hAnsi="Arial"/>
                <w:sz w:val="16"/>
              </w:rPr>
            </w:pPr>
            <w:r w:rsidRPr="008027D6">
              <w:rPr>
                <w:rFonts w:ascii="Arial" w:hAnsi="Arial"/>
                <w:sz w:val="16"/>
              </w:rPr>
              <w:t>Невообичаено: ризик од анафилакса (мора да се администрира од страна на здравствено лице)</w:t>
            </w: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Икатибант (Фиразир, „Шајр“, Лексингтон, Масачусетс)</w:t>
            </w:r>
          </w:p>
        </w:tc>
        <w:tc>
          <w:tcPr>
            <w:tcW w:w="1337" w:type="dxa"/>
          </w:tcPr>
          <w:p w:rsidR="008027D6" w:rsidRPr="008027D6" w:rsidRDefault="008027D6" w:rsidP="008027D6">
            <w:pPr>
              <w:rPr>
                <w:rFonts w:ascii="Arial" w:hAnsi="Arial"/>
                <w:sz w:val="16"/>
              </w:rPr>
            </w:pPr>
            <w:r w:rsidRPr="008027D6">
              <w:rPr>
                <w:rFonts w:ascii="Arial" w:hAnsi="Arial"/>
                <w:sz w:val="16"/>
              </w:rPr>
              <w:t>Одобрен за акутни напади кај пациентите</w:t>
            </w:r>
            <w:r w:rsidRPr="008027D6">
              <w:rPr>
                <w:rFonts w:ascii="Arial" w:hAnsi="Arial"/>
                <w:sz w:val="16"/>
                <w:u w:val="single"/>
              </w:rPr>
              <w:t>&gt;</w:t>
            </w:r>
            <w:r w:rsidRPr="008027D6">
              <w:rPr>
                <w:rFonts w:ascii="Arial" w:hAnsi="Arial"/>
                <w:sz w:val="16"/>
              </w:rPr>
              <w:t xml:space="preserve"> 18 години</w:t>
            </w:r>
          </w:p>
        </w:tc>
        <w:tc>
          <w:tcPr>
            <w:tcW w:w="1255" w:type="dxa"/>
          </w:tcPr>
          <w:p w:rsidR="008027D6" w:rsidRPr="008027D6" w:rsidRDefault="008027D6" w:rsidP="008027D6">
            <w:pPr>
              <w:rPr>
                <w:rFonts w:ascii="Arial" w:hAnsi="Arial"/>
                <w:sz w:val="16"/>
              </w:rPr>
            </w:pPr>
            <w:r w:rsidRPr="008027D6">
              <w:rPr>
                <w:rFonts w:ascii="Arial" w:hAnsi="Arial"/>
                <w:sz w:val="16"/>
              </w:rPr>
              <w:t>30mg супкутано</w:t>
            </w:r>
          </w:p>
        </w:tc>
        <w:tc>
          <w:tcPr>
            <w:tcW w:w="1253" w:type="dxa"/>
          </w:tcPr>
          <w:p w:rsidR="008027D6" w:rsidRPr="008027D6" w:rsidRDefault="008027D6" w:rsidP="008027D6">
            <w:pPr>
              <w:rPr>
                <w:rFonts w:ascii="Arial" w:hAnsi="Arial"/>
                <w:sz w:val="16"/>
              </w:rPr>
            </w:pPr>
            <w:r w:rsidRPr="008027D6">
              <w:rPr>
                <w:rFonts w:ascii="Arial" w:hAnsi="Arial"/>
                <w:sz w:val="16"/>
              </w:rPr>
              <w:t>Брадикинин B2 рецептор антагонист</w:t>
            </w:r>
          </w:p>
        </w:tc>
        <w:tc>
          <w:tcPr>
            <w:tcW w:w="1293" w:type="dxa"/>
          </w:tcPr>
          <w:p w:rsidR="008027D6" w:rsidRPr="008027D6" w:rsidRDefault="008027D6" w:rsidP="008027D6">
            <w:pPr>
              <w:rPr>
                <w:rFonts w:ascii="Arial" w:hAnsi="Arial"/>
                <w:sz w:val="16"/>
              </w:rPr>
            </w:pPr>
            <w:r w:rsidRPr="008027D6">
              <w:rPr>
                <w:rFonts w:ascii="Arial" w:hAnsi="Arial"/>
                <w:sz w:val="16"/>
              </w:rPr>
              <w:t>+++</w:t>
            </w:r>
          </w:p>
        </w:tc>
        <w:tc>
          <w:tcPr>
            <w:tcW w:w="1340" w:type="dxa"/>
          </w:tcPr>
          <w:p w:rsidR="008027D6" w:rsidRPr="008027D6" w:rsidRDefault="008027D6" w:rsidP="008027D6">
            <w:pPr>
              <w:rPr>
                <w:rFonts w:ascii="Arial" w:hAnsi="Arial"/>
                <w:sz w:val="16"/>
              </w:rPr>
            </w:pPr>
            <w:r w:rsidRPr="008027D6">
              <w:rPr>
                <w:rFonts w:ascii="Arial" w:hAnsi="Arial"/>
                <w:sz w:val="16"/>
              </w:rPr>
              <w:t>Се складира  меѓу 2</w:t>
            </w:r>
            <w:r w:rsidRPr="008027D6">
              <w:rPr>
                <w:rFonts w:ascii="Arial" w:hAnsi="Arial"/>
                <w:sz w:val="16"/>
                <w:vertAlign w:val="superscript"/>
              </w:rPr>
              <w:t>о</w:t>
            </w:r>
            <w:r w:rsidRPr="008027D6">
              <w:rPr>
                <w:rFonts w:ascii="Arial" w:hAnsi="Arial"/>
                <w:sz w:val="16"/>
              </w:rPr>
              <w:t>C и 25</w:t>
            </w:r>
            <w:r w:rsidRPr="008027D6">
              <w:rPr>
                <w:rFonts w:ascii="Arial" w:hAnsi="Arial"/>
                <w:sz w:val="16"/>
                <w:vertAlign w:val="superscript"/>
              </w:rPr>
              <w:t>0</w:t>
            </w:r>
            <w:r w:rsidRPr="008027D6">
              <w:rPr>
                <w:rFonts w:ascii="Arial" w:hAnsi="Arial"/>
                <w:sz w:val="16"/>
              </w:rPr>
              <w:t>C, стабилен до 2 години</w:t>
            </w:r>
          </w:p>
        </w:tc>
        <w:tc>
          <w:tcPr>
            <w:tcW w:w="1585" w:type="dxa"/>
          </w:tcPr>
          <w:p w:rsidR="008027D6" w:rsidRPr="008027D6" w:rsidRDefault="008027D6" w:rsidP="008027D6">
            <w:pPr>
              <w:rPr>
                <w:rFonts w:ascii="Arial" w:hAnsi="Arial"/>
                <w:sz w:val="16"/>
              </w:rPr>
            </w:pPr>
            <w:r w:rsidRPr="008027D6">
              <w:rPr>
                <w:rFonts w:ascii="Arial" w:hAnsi="Arial"/>
                <w:sz w:val="16"/>
              </w:rPr>
              <w:t>Вообичаено: неудобност на местото на убод од инјекцијата, теоретски: влошување на тековниот исхемски напад</w:t>
            </w: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Постари</w:t>
            </w:r>
          </w:p>
        </w:tc>
        <w:tc>
          <w:tcPr>
            <w:tcW w:w="1337" w:type="dxa"/>
          </w:tcPr>
          <w:p w:rsidR="008027D6" w:rsidRPr="008027D6" w:rsidRDefault="008027D6" w:rsidP="008027D6">
            <w:pPr>
              <w:rPr>
                <w:rFonts w:ascii="Arial" w:hAnsi="Arial"/>
                <w:sz w:val="16"/>
              </w:rPr>
            </w:pPr>
          </w:p>
        </w:tc>
        <w:tc>
          <w:tcPr>
            <w:tcW w:w="1255" w:type="dxa"/>
          </w:tcPr>
          <w:p w:rsidR="008027D6" w:rsidRPr="008027D6" w:rsidRDefault="008027D6" w:rsidP="008027D6">
            <w:pPr>
              <w:rPr>
                <w:rFonts w:ascii="Arial" w:hAnsi="Arial"/>
                <w:sz w:val="16"/>
              </w:rPr>
            </w:pPr>
          </w:p>
        </w:tc>
        <w:tc>
          <w:tcPr>
            <w:tcW w:w="1253" w:type="dxa"/>
          </w:tcPr>
          <w:p w:rsidR="008027D6" w:rsidRPr="008027D6" w:rsidRDefault="008027D6" w:rsidP="008027D6">
            <w:pPr>
              <w:rPr>
                <w:rFonts w:ascii="Arial" w:hAnsi="Arial"/>
                <w:sz w:val="16"/>
              </w:rPr>
            </w:pPr>
          </w:p>
        </w:tc>
        <w:tc>
          <w:tcPr>
            <w:tcW w:w="1293" w:type="dxa"/>
          </w:tcPr>
          <w:p w:rsidR="008027D6" w:rsidRPr="008027D6" w:rsidRDefault="008027D6" w:rsidP="008027D6">
            <w:pPr>
              <w:rPr>
                <w:rFonts w:ascii="Arial" w:hAnsi="Arial"/>
                <w:sz w:val="16"/>
              </w:rPr>
            </w:pPr>
          </w:p>
        </w:tc>
        <w:tc>
          <w:tcPr>
            <w:tcW w:w="1340" w:type="dxa"/>
          </w:tcPr>
          <w:p w:rsidR="008027D6" w:rsidRPr="008027D6" w:rsidRDefault="008027D6" w:rsidP="008027D6">
            <w:pPr>
              <w:rPr>
                <w:rFonts w:ascii="Arial" w:hAnsi="Arial"/>
                <w:sz w:val="16"/>
              </w:rPr>
            </w:pPr>
          </w:p>
        </w:tc>
        <w:tc>
          <w:tcPr>
            <w:tcW w:w="1585" w:type="dxa"/>
          </w:tcPr>
          <w:p w:rsidR="008027D6" w:rsidRPr="008027D6" w:rsidRDefault="008027D6" w:rsidP="008027D6">
            <w:pPr>
              <w:rPr>
                <w:rFonts w:ascii="Arial" w:hAnsi="Arial"/>
                <w:sz w:val="16"/>
              </w:rPr>
            </w:pPr>
          </w:p>
        </w:tc>
      </w:tr>
      <w:tr w:rsidR="008027D6" w:rsidRPr="008027D6" w:rsidTr="008027D6">
        <w:tc>
          <w:tcPr>
            <w:tcW w:w="1513" w:type="dxa"/>
          </w:tcPr>
          <w:p w:rsidR="008027D6" w:rsidRPr="008027D6" w:rsidRDefault="008027D6" w:rsidP="008027D6">
            <w:pPr>
              <w:rPr>
                <w:rFonts w:ascii="Arial" w:hAnsi="Arial"/>
                <w:sz w:val="16"/>
              </w:rPr>
            </w:pPr>
            <w:r w:rsidRPr="008027D6">
              <w:rPr>
                <w:rFonts w:ascii="Arial" w:hAnsi="Arial"/>
                <w:sz w:val="16"/>
              </w:rPr>
              <w:t>Свежо смрзната плазма</w:t>
            </w:r>
          </w:p>
        </w:tc>
        <w:tc>
          <w:tcPr>
            <w:tcW w:w="1337" w:type="dxa"/>
          </w:tcPr>
          <w:p w:rsidR="008027D6" w:rsidRPr="008027D6" w:rsidRDefault="008027D6" w:rsidP="008027D6">
            <w:pPr>
              <w:rPr>
                <w:rFonts w:ascii="Arial" w:hAnsi="Arial"/>
                <w:i/>
                <w:sz w:val="16"/>
              </w:rPr>
            </w:pPr>
            <w:r w:rsidRPr="008027D6">
              <w:rPr>
                <w:rFonts w:ascii="Arial" w:hAnsi="Arial"/>
                <w:sz w:val="16"/>
              </w:rPr>
              <w:t xml:space="preserve">Не е одобрено од АХЛ за </w:t>
            </w:r>
            <w:r w:rsidRPr="008027D6">
              <w:rPr>
                <w:rFonts w:ascii="Arial" w:hAnsi="Arial"/>
                <w:i/>
                <w:sz w:val="16"/>
              </w:rPr>
              <w:t>третман според потреба</w:t>
            </w:r>
          </w:p>
        </w:tc>
        <w:tc>
          <w:tcPr>
            <w:tcW w:w="1255" w:type="dxa"/>
          </w:tcPr>
          <w:p w:rsidR="008027D6" w:rsidRPr="008027D6" w:rsidRDefault="008027D6" w:rsidP="008027D6">
            <w:pPr>
              <w:rPr>
                <w:rFonts w:ascii="Arial" w:hAnsi="Arial"/>
                <w:sz w:val="16"/>
              </w:rPr>
            </w:pPr>
            <w:r w:rsidRPr="008027D6">
              <w:rPr>
                <w:rFonts w:ascii="Arial" w:hAnsi="Arial"/>
                <w:sz w:val="16"/>
              </w:rPr>
              <w:t>2 единици</w:t>
            </w:r>
          </w:p>
        </w:tc>
        <w:tc>
          <w:tcPr>
            <w:tcW w:w="1253" w:type="dxa"/>
          </w:tcPr>
          <w:p w:rsidR="008027D6" w:rsidRPr="008027D6" w:rsidRDefault="008027D6" w:rsidP="008027D6">
            <w:pPr>
              <w:rPr>
                <w:rFonts w:ascii="Arial" w:hAnsi="Arial"/>
                <w:sz w:val="16"/>
              </w:rPr>
            </w:pPr>
            <w:r w:rsidRPr="008027D6">
              <w:rPr>
                <w:rFonts w:ascii="Arial" w:hAnsi="Arial"/>
                <w:sz w:val="16"/>
              </w:rPr>
              <w:t xml:space="preserve">Го инхибира каликреинот на плазмата, фактори на коагулација XIIа и </w:t>
            </w:r>
            <w:proofErr w:type="spellStart"/>
            <w:r w:rsidRPr="008027D6">
              <w:rPr>
                <w:rFonts w:ascii="Arial" w:hAnsi="Arial"/>
                <w:sz w:val="16"/>
              </w:rPr>
              <w:t>XIa</w:t>
            </w:r>
            <w:proofErr w:type="spellEnd"/>
            <w:r w:rsidRPr="008027D6">
              <w:rPr>
                <w:rFonts w:ascii="Arial" w:hAnsi="Arial"/>
                <w:sz w:val="16"/>
              </w:rPr>
              <w:t>, C1s, C1r, MASP-1, MASP-2 и плазмин</w:t>
            </w:r>
          </w:p>
        </w:tc>
        <w:tc>
          <w:tcPr>
            <w:tcW w:w="1293" w:type="dxa"/>
          </w:tcPr>
          <w:p w:rsidR="008027D6" w:rsidRPr="008027D6" w:rsidRDefault="008027D6" w:rsidP="008027D6">
            <w:pPr>
              <w:rPr>
                <w:rFonts w:ascii="Arial" w:hAnsi="Arial"/>
                <w:sz w:val="16"/>
              </w:rPr>
            </w:pPr>
            <w:r w:rsidRPr="008027D6">
              <w:rPr>
                <w:rFonts w:ascii="Arial" w:hAnsi="Arial"/>
                <w:sz w:val="16"/>
              </w:rPr>
              <w:t>++</w:t>
            </w:r>
          </w:p>
        </w:tc>
        <w:tc>
          <w:tcPr>
            <w:tcW w:w="1340" w:type="dxa"/>
          </w:tcPr>
          <w:p w:rsidR="008027D6" w:rsidRPr="008027D6" w:rsidRDefault="008027D6" w:rsidP="008027D6">
            <w:pPr>
              <w:rPr>
                <w:rFonts w:ascii="Arial" w:hAnsi="Arial"/>
                <w:sz w:val="16"/>
              </w:rPr>
            </w:pPr>
            <w:r w:rsidRPr="008027D6">
              <w:rPr>
                <w:rFonts w:ascii="Arial" w:hAnsi="Arial"/>
                <w:sz w:val="16"/>
              </w:rPr>
              <w:t>n/a</w:t>
            </w:r>
          </w:p>
        </w:tc>
        <w:tc>
          <w:tcPr>
            <w:tcW w:w="1585" w:type="dxa"/>
          </w:tcPr>
          <w:p w:rsidR="008027D6" w:rsidRPr="008027D6" w:rsidRDefault="008027D6" w:rsidP="008027D6">
            <w:pPr>
              <w:rPr>
                <w:rFonts w:ascii="Arial" w:hAnsi="Arial"/>
                <w:sz w:val="16"/>
              </w:rPr>
            </w:pPr>
            <w:r w:rsidRPr="008027D6">
              <w:rPr>
                <w:rFonts w:ascii="Arial" w:hAnsi="Arial"/>
                <w:sz w:val="16"/>
              </w:rPr>
              <w:t>Ретко: ризик од анафилакса; можно: пренесување на инфективни причинители; ненадејно влошување на нападот</w:t>
            </w:r>
          </w:p>
        </w:tc>
      </w:tr>
    </w:tbl>
    <w:p w:rsidR="008027D6" w:rsidRPr="008027D6" w:rsidRDefault="008027D6" w:rsidP="008027D6">
      <w:pPr>
        <w:rPr>
          <w:rFonts w:ascii="Arial" w:hAnsi="Arial"/>
          <w:sz w:val="18"/>
        </w:rPr>
      </w:pPr>
      <w:r w:rsidRPr="008027D6">
        <w:rPr>
          <w:rFonts w:ascii="Arial" w:hAnsi="Arial"/>
          <w:sz w:val="18"/>
        </w:rPr>
        <w:t>++ умерена ефикасност; +++ одлична ефикасност; MASP, манозно-асоцирана серин протеаза; n/a не е достапно; PTT; парцијално тромбопластинско време.</w:t>
      </w:r>
    </w:p>
    <w:p w:rsidR="008027D6" w:rsidRDefault="008027D6" w:rsidP="00D5302E">
      <w:pPr>
        <w:spacing w:after="0"/>
        <w:jc w:val="both"/>
        <w:rPr>
          <w:rFonts w:ascii="Arial" w:hAnsi="Arial"/>
          <w:sz w:val="20"/>
        </w:rPr>
      </w:pPr>
    </w:p>
    <w:p w:rsidR="008027D6" w:rsidRDefault="008027D6">
      <w:pPr>
        <w:rPr>
          <w:rFonts w:ascii="Arial" w:hAnsi="Arial"/>
          <w:sz w:val="20"/>
        </w:rPr>
      </w:pPr>
      <w:r>
        <w:rPr>
          <w:rFonts w:ascii="Arial" w:hAnsi="Arial"/>
          <w:sz w:val="20"/>
        </w:rPr>
        <w:br w:type="page"/>
      </w:r>
    </w:p>
    <w:p w:rsidR="008027D6" w:rsidRDefault="008027D6" w:rsidP="00D5302E">
      <w:pPr>
        <w:spacing w:after="0"/>
        <w:jc w:val="both"/>
        <w:rPr>
          <w:rFonts w:ascii="Arial" w:hAnsi="Arial"/>
          <w:sz w:val="20"/>
        </w:rPr>
        <w:sectPr w:rsidR="008027D6" w:rsidSect="008027D6">
          <w:endnotePr>
            <w:numFmt w:val="decimal"/>
          </w:endnotePr>
          <w:type w:val="continuous"/>
          <w:pgSz w:w="12240" w:h="15840"/>
          <w:pgMar w:top="1440" w:right="1440" w:bottom="1440" w:left="1440" w:header="720" w:footer="720" w:gutter="0"/>
          <w:cols w:space="720"/>
          <w:docGrid w:linePitch="360"/>
        </w:sectPr>
      </w:pPr>
    </w:p>
    <w:p w:rsidR="000446A9" w:rsidRDefault="00C5176D" w:rsidP="00D5302E">
      <w:pPr>
        <w:spacing w:after="0"/>
        <w:jc w:val="both"/>
        <w:rPr>
          <w:rFonts w:ascii="Arial" w:hAnsi="Arial"/>
          <w:sz w:val="20"/>
        </w:rPr>
      </w:pPr>
      <w:r>
        <w:rPr>
          <w:rFonts w:ascii="Arial" w:hAnsi="Arial"/>
          <w:i/>
          <w:sz w:val="20"/>
        </w:rPr>
        <w:lastRenderedPageBreak/>
        <w:t xml:space="preserve">2.2 Постоен план за управување. </w:t>
      </w:r>
      <w:r>
        <w:rPr>
          <w:rFonts w:ascii="Arial" w:hAnsi="Arial"/>
          <w:sz w:val="20"/>
        </w:rPr>
        <w:t xml:space="preserve">Како што е спомнато погоре (Дел 1. План за управување со ХАЕ), пациентите треба да имаат план за управување со подготвена </w:t>
      </w:r>
      <w:r w:rsidR="000446A9">
        <w:rPr>
          <w:rFonts w:ascii="Arial" w:hAnsi="Arial"/>
          <w:sz w:val="20"/>
        </w:rPr>
        <w:t>пристап</w:t>
      </w:r>
      <w:r>
        <w:rPr>
          <w:rFonts w:ascii="Arial" w:hAnsi="Arial"/>
          <w:sz w:val="20"/>
        </w:rPr>
        <w:t xml:space="preserve"> до нивните здравствени служби при акутен напад. </w:t>
      </w:r>
      <w:r w:rsidR="00D216D0">
        <w:rPr>
          <w:rFonts w:ascii="Arial" w:hAnsi="Arial"/>
          <w:sz w:val="20"/>
        </w:rPr>
        <w:t>Во п</w:t>
      </w:r>
      <w:r>
        <w:rPr>
          <w:rFonts w:ascii="Arial" w:hAnsi="Arial"/>
          <w:sz w:val="20"/>
        </w:rPr>
        <w:t xml:space="preserve">ланот за управување треба да </w:t>
      </w:r>
      <w:r w:rsidR="00D216D0">
        <w:rPr>
          <w:rFonts w:ascii="Arial" w:hAnsi="Arial"/>
          <w:sz w:val="20"/>
        </w:rPr>
        <w:t xml:space="preserve">се </w:t>
      </w:r>
    </w:p>
    <w:p w:rsidR="000446A9" w:rsidRDefault="00C5176D" w:rsidP="00D5302E">
      <w:pPr>
        <w:spacing w:after="0"/>
        <w:jc w:val="both"/>
        <w:rPr>
          <w:rFonts w:ascii="Arial" w:hAnsi="Arial"/>
          <w:b/>
          <w:i/>
          <w:sz w:val="20"/>
        </w:rPr>
      </w:pPr>
      <w:r>
        <w:rPr>
          <w:rFonts w:ascii="Arial" w:hAnsi="Arial"/>
          <w:sz w:val="20"/>
        </w:rPr>
        <w:t>вклуч</w:t>
      </w:r>
      <w:r w:rsidR="00D216D0">
        <w:rPr>
          <w:rFonts w:ascii="Arial" w:hAnsi="Arial"/>
          <w:sz w:val="20"/>
        </w:rPr>
        <w:t>ени</w:t>
      </w:r>
      <w:r>
        <w:rPr>
          <w:rFonts w:ascii="Arial" w:hAnsi="Arial"/>
          <w:sz w:val="20"/>
        </w:rPr>
        <w:t xml:space="preserve"> </w:t>
      </w:r>
      <w:r w:rsidR="00D216D0">
        <w:rPr>
          <w:rFonts w:ascii="Arial" w:hAnsi="Arial"/>
          <w:sz w:val="20"/>
        </w:rPr>
        <w:t xml:space="preserve">имињата на лековите и методите на администрација. Поголем дел од ХАЕ нападите може да се третираат </w:t>
      </w:r>
      <w:r w:rsidR="00FB7426">
        <w:rPr>
          <w:rFonts w:ascii="Arial" w:hAnsi="Arial"/>
          <w:sz w:val="20"/>
        </w:rPr>
        <w:t xml:space="preserve">надвор од медицинска установа. Третманот може да се изврши преку само-администрација, од страна на обучен член на семејството, или </w:t>
      </w:r>
      <w:r w:rsidR="00FB7426" w:rsidRPr="00FB7426">
        <w:rPr>
          <w:rFonts w:ascii="Arial" w:hAnsi="Arial"/>
          <w:b/>
          <w:sz w:val="20"/>
        </w:rPr>
        <w:t xml:space="preserve"> </w:t>
      </w:r>
      <w:r w:rsidR="00FB7426">
        <w:rPr>
          <w:rFonts w:ascii="Arial" w:hAnsi="Arial"/>
          <w:sz w:val="20"/>
        </w:rPr>
        <w:t>здравствен работник в</w:t>
      </w:r>
      <w:r w:rsidR="00EA1B91">
        <w:rPr>
          <w:rFonts w:ascii="Arial" w:hAnsi="Arial"/>
          <w:sz w:val="20"/>
        </w:rPr>
        <w:t>о рамки на службата</w:t>
      </w:r>
      <w:r w:rsidR="00FB7426">
        <w:rPr>
          <w:rFonts w:ascii="Arial" w:hAnsi="Arial"/>
          <w:sz w:val="20"/>
        </w:rPr>
        <w:t xml:space="preserve"> домашна нега. Не може сите пациенти да се третираат надвор од медицинска установа.</w:t>
      </w:r>
      <w:r w:rsidR="0013060A">
        <w:rPr>
          <w:rFonts w:ascii="Arial" w:hAnsi="Arial"/>
          <w:sz w:val="20"/>
        </w:rPr>
        <w:t xml:space="preserve"> За сите пациенти с</w:t>
      </w:r>
      <w:r w:rsidR="00FB7426">
        <w:rPr>
          <w:rFonts w:ascii="Arial" w:hAnsi="Arial"/>
          <w:sz w:val="20"/>
        </w:rPr>
        <w:t xml:space="preserve">е препорачува </w:t>
      </w:r>
      <w:r w:rsidR="0013060A">
        <w:rPr>
          <w:rFonts w:ascii="Arial" w:hAnsi="Arial"/>
          <w:sz w:val="20"/>
        </w:rPr>
        <w:t>да се уреди постојан електронски пристап до медицинска установа или здравствена служба, дури и за оние кои се третираат надвор од медицинската установа.</w:t>
      </w:r>
    </w:p>
    <w:p w:rsidR="000446A9" w:rsidRDefault="000446A9" w:rsidP="00D5302E">
      <w:pPr>
        <w:spacing w:after="0"/>
        <w:jc w:val="both"/>
        <w:rPr>
          <w:rFonts w:ascii="Arial" w:hAnsi="Arial"/>
          <w:b/>
          <w:i/>
          <w:sz w:val="20"/>
        </w:rPr>
      </w:pPr>
    </w:p>
    <w:p w:rsidR="00C5176D" w:rsidRDefault="0013060A" w:rsidP="00D5302E">
      <w:pPr>
        <w:spacing w:after="0"/>
        <w:jc w:val="both"/>
        <w:rPr>
          <w:rFonts w:ascii="Arial" w:hAnsi="Arial"/>
          <w:sz w:val="20"/>
        </w:rPr>
      </w:pPr>
      <w:r>
        <w:rPr>
          <w:rFonts w:ascii="Arial" w:hAnsi="Arial"/>
          <w:b/>
          <w:i/>
          <w:sz w:val="20"/>
        </w:rPr>
        <w:t xml:space="preserve">2.3 Ран третман. </w:t>
      </w:r>
      <w:r w:rsidRPr="00EA1B91">
        <w:rPr>
          <w:rFonts w:ascii="Arial" w:hAnsi="Arial"/>
          <w:i/>
          <w:sz w:val="20"/>
        </w:rPr>
        <w:t>Третман</w:t>
      </w:r>
      <w:r w:rsidR="00EA1B91" w:rsidRPr="00EA1B91">
        <w:rPr>
          <w:rFonts w:ascii="Arial" w:hAnsi="Arial"/>
          <w:i/>
          <w:sz w:val="20"/>
        </w:rPr>
        <w:t>от на напади според побарување</w:t>
      </w:r>
      <w:r>
        <w:rPr>
          <w:rFonts w:ascii="Arial" w:hAnsi="Arial"/>
          <w:sz w:val="20"/>
        </w:rPr>
        <w:t xml:space="preserve"> е поефективен кога ќе се администрира во раниот стадиум на нападот.</w:t>
      </w:r>
      <w:r w:rsidR="00D824B0">
        <w:rPr>
          <w:rFonts w:ascii="Arial" w:hAnsi="Arial"/>
          <w:sz w:val="20"/>
          <w:vertAlign w:val="superscript"/>
        </w:rPr>
        <w:t xml:space="preserve">21 </w:t>
      </w:r>
      <w:r w:rsidR="00D824B0">
        <w:rPr>
          <w:rFonts w:ascii="Arial" w:hAnsi="Arial"/>
          <w:sz w:val="20"/>
        </w:rPr>
        <w:t xml:space="preserve">Пациентите треба да се советуваат да се третираат што е можно побрзо, веднаш штом нападот јасно ќе се препознае. Во случаи </w:t>
      </w:r>
      <w:r w:rsidR="00EA1B91">
        <w:rPr>
          <w:rFonts w:ascii="Arial" w:hAnsi="Arial"/>
          <w:sz w:val="20"/>
        </w:rPr>
        <w:t>кога</w:t>
      </w:r>
      <w:r w:rsidR="00D824B0">
        <w:rPr>
          <w:rFonts w:ascii="Arial" w:hAnsi="Arial"/>
          <w:sz w:val="20"/>
        </w:rPr>
        <w:t xml:space="preserve"> пациентот може сигурно да предвиди напад (т.е. </w:t>
      </w:r>
      <w:proofErr w:type="gramStart"/>
      <w:r w:rsidR="00D824B0">
        <w:rPr>
          <w:rFonts w:ascii="Arial" w:hAnsi="Arial"/>
          <w:sz w:val="20"/>
        </w:rPr>
        <w:t>erythema</w:t>
      </w:r>
      <w:proofErr w:type="gramEnd"/>
      <w:r w:rsidR="00D824B0">
        <w:rPr>
          <w:rFonts w:ascii="Arial" w:hAnsi="Arial"/>
          <w:sz w:val="20"/>
        </w:rPr>
        <w:t xml:space="preserve"> </w:t>
      </w:r>
      <w:proofErr w:type="spellStart"/>
      <w:r w:rsidR="00D824B0">
        <w:rPr>
          <w:rFonts w:ascii="Arial" w:hAnsi="Arial"/>
          <w:sz w:val="20"/>
        </w:rPr>
        <w:t>marginatum</w:t>
      </w:r>
      <w:proofErr w:type="spellEnd"/>
      <w:r w:rsidR="00D824B0">
        <w:rPr>
          <w:rFonts w:ascii="Arial" w:hAnsi="Arial"/>
          <w:sz w:val="20"/>
        </w:rPr>
        <w:t xml:space="preserve">), </w:t>
      </w:r>
      <w:r w:rsidR="00AF58B6">
        <w:rPr>
          <w:rFonts w:ascii="Arial" w:hAnsi="Arial"/>
          <w:sz w:val="20"/>
        </w:rPr>
        <w:t xml:space="preserve">може да се </w:t>
      </w:r>
      <w:r w:rsidR="00EA1B91">
        <w:rPr>
          <w:rFonts w:ascii="Arial" w:hAnsi="Arial"/>
          <w:sz w:val="20"/>
        </w:rPr>
        <w:t>договори</w:t>
      </w:r>
      <w:r w:rsidR="00AF58B6">
        <w:rPr>
          <w:rFonts w:ascii="Arial" w:hAnsi="Arial"/>
          <w:sz w:val="20"/>
        </w:rPr>
        <w:t xml:space="preserve"> логистичкиот дел поврзан со нападот</w:t>
      </w:r>
      <w:r w:rsidR="00AF58B6">
        <w:rPr>
          <w:rStyle w:val="EndnoteReference"/>
          <w:rFonts w:ascii="Arial" w:hAnsi="Arial"/>
          <w:sz w:val="20"/>
        </w:rPr>
        <w:endnoteReference w:id="22"/>
      </w:r>
      <w:r w:rsidR="00B803E5">
        <w:rPr>
          <w:rFonts w:ascii="Arial" w:hAnsi="Arial"/>
          <w:sz w:val="20"/>
        </w:rPr>
        <w:t>; м</w:t>
      </w:r>
      <w:r w:rsidR="00EA1B91">
        <w:rPr>
          <w:rFonts w:ascii="Arial" w:hAnsi="Arial"/>
          <w:sz w:val="20"/>
        </w:rPr>
        <w:t>еѓутоа, третманот треба да се примени</w:t>
      </w:r>
      <w:r w:rsidR="00B803E5">
        <w:rPr>
          <w:rFonts w:ascii="Arial" w:hAnsi="Arial"/>
          <w:sz w:val="20"/>
        </w:rPr>
        <w:t xml:space="preserve"> само кога пациентот ќе идентификува дека нападот почнал. Пациентите кои сами си администрираат лек треб</w:t>
      </w:r>
      <w:r w:rsidR="00EA1B91">
        <w:rPr>
          <w:rFonts w:ascii="Arial" w:hAnsi="Arial"/>
          <w:sz w:val="20"/>
        </w:rPr>
        <w:t>а да побараат медицинска помош</w:t>
      </w:r>
      <w:r w:rsidR="00B803E5">
        <w:rPr>
          <w:rFonts w:ascii="Arial" w:hAnsi="Arial"/>
          <w:sz w:val="20"/>
        </w:rPr>
        <w:t xml:space="preserve"> ако карактеристиките на нивниот напад се необични, нивната реакција на самоадминистрирање е несоодветна или ако добијат напад на дишните патишта. </w:t>
      </w:r>
    </w:p>
    <w:p w:rsidR="00B803E5" w:rsidRDefault="00B803E5" w:rsidP="00D5302E">
      <w:pPr>
        <w:spacing w:after="0"/>
        <w:jc w:val="both"/>
        <w:rPr>
          <w:rFonts w:ascii="Arial" w:hAnsi="Arial"/>
          <w:sz w:val="20"/>
        </w:rPr>
      </w:pPr>
    </w:p>
    <w:p w:rsidR="00B803E5" w:rsidRDefault="00B803E5" w:rsidP="00D5302E">
      <w:pPr>
        <w:spacing w:after="0"/>
        <w:jc w:val="both"/>
        <w:rPr>
          <w:rFonts w:ascii="Arial" w:hAnsi="Arial"/>
          <w:sz w:val="20"/>
        </w:rPr>
      </w:pPr>
      <w:r w:rsidRPr="00B803E5">
        <w:rPr>
          <w:rFonts w:ascii="Arial" w:hAnsi="Arial"/>
          <w:b/>
          <w:i/>
          <w:sz w:val="20"/>
        </w:rPr>
        <w:t>2.4. Локација на нападот</w:t>
      </w:r>
      <w:r>
        <w:rPr>
          <w:rFonts w:ascii="Arial" w:hAnsi="Arial"/>
          <w:b/>
          <w:i/>
          <w:sz w:val="20"/>
        </w:rPr>
        <w:t xml:space="preserve">. </w:t>
      </w:r>
      <w:r w:rsidRPr="00B803E5">
        <w:rPr>
          <w:rFonts w:ascii="Arial" w:hAnsi="Arial"/>
          <w:sz w:val="20"/>
        </w:rPr>
        <w:t xml:space="preserve">Одлуките </w:t>
      </w:r>
      <w:r w:rsidR="006B21F2">
        <w:rPr>
          <w:rFonts w:ascii="Arial" w:hAnsi="Arial"/>
          <w:sz w:val="20"/>
        </w:rPr>
        <w:t>околу тоа кои напади да се третираат со лекови кои се даваат според потреба треба да се засноваат на целите за минимизира</w:t>
      </w:r>
      <w:r w:rsidR="00EA1B91">
        <w:rPr>
          <w:rFonts w:ascii="Arial" w:hAnsi="Arial"/>
          <w:sz w:val="20"/>
        </w:rPr>
        <w:t>ње на морбидитетот, спречување на морталитетот и подобрување на</w:t>
      </w:r>
      <w:r w:rsidR="006B21F2">
        <w:rPr>
          <w:rFonts w:ascii="Arial" w:hAnsi="Arial"/>
          <w:sz w:val="20"/>
        </w:rPr>
        <w:t xml:space="preserve"> квалитетот на живот, </w:t>
      </w:r>
      <w:r w:rsidR="006B21F2">
        <w:rPr>
          <w:rFonts w:ascii="Arial" w:hAnsi="Arial"/>
          <w:sz w:val="20"/>
        </w:rPr>
        <w:lastRenderedPageBreak/>
        <w:t>наместо само произволна дистинкција врз основа на локацијата. Сите напади, без оглед на локацијата, треба да се разгледаат за третман веднаш при препознавањето. Постои убедлив консензус дека сите абдоминални, фацијални, орални напади, како и нападите на горниот респираторен тракт треба да се третираат што е можно поскоро.</w:t>
      </w:r>
      <w:r w:rsidR="00A7261E">
        <w:rPr>
          <w:rFonts w:ascii="Arial" w:hAnsi="Arial"/>
          <w:sz w:val="20"/>
        </w:rPr>
        <w:t xml:space="preserve"> Нападите на екстремитетите честопати го ограничуваат движењето, па ран третман при такви напади може да ја спречи дисфункцијата.</w:t>
      </w:r>
      <w:r w:rsidR="00A7261E">
        <w:rPr>
          <w:rFonts w:ascii="Arial" w:hAnsi="Arial"/>
          <w:sz w:val="20"/>
          <w:vertAlign w:val="superscript"/>
        </w:rPr>
        <w:t xml:space="preserve">16-22, </w:t>
      </w:r>
      <w:r w:rsidR="00A7261E">
        <w:rPr>
          <w:rStyle w:val="EndnoteReference"/>
          <w:rFonts w:ascii="Arial" w:hAnsi="Arial"/>
          <w:sz w:val="20"/>
        </w:rPr>
        <w:endnoteReference w:id="23"/>
      </w:r>
      <w:r w:rsidR="00A7261E">
        <w:rPr>
          <w:rFonts w:ascii="Arial" w:hAnsi="Arial"/>
          <w:sz w:val="20"/>
          <w:vertAlign w:val="superscript"/>
        </w:rPr>
        <w:t xml:space="preserve"> </w:t>
      </w:r>
      <w:r w:rsidR="00A7261E" w:rsidRPr="00A7261E">
        <w:rPr>
          <w:rFonts w:ascii="Arial" w:hAnsi="Arial"/>
          <w:sz w:val="20"/>
        </w:rPr>
        <w:t xml:space="preserve">Одлуката дали е </w:t>
      </w:r>
      <w:r w:rsidR="00A7261E">
        <w:rPr>
          <w:rFonts w:ascii="Arial" w:hAnsi="Arial"/>
          <w:sz w:val="20"/>
        </w:rPr>
        <w:t xml:space="preserve">потребно да се </w:t>
      </w:r>
      <w:r w:rsidR="00462257">
        <w:rPr>
          <w:rFonts w:ascii="Arial" w:hAnsi="Arial"/>
          <w:sz w:val="20"/>
        </w:rPr>
        <w:t xml:space="preserve">третира напад на екстремитет може да се препушти на проценката на пациентот дали локацијата на отокот може да резултира во попреченост. </w:t>
      </w:r>
    </w:p>
    <w:p w:rsidR="00462257" w:rsidRDefault="00462257" w:rsidP="00D5302E">
      <w:pPr>
        <w:spacing w:after="0"/>
        <w:jc w:val="both"/>
        <w:rPr>
          <w:rFonts w:ascii="Arial" w:hAnsi="Arial"/>
          <w:b/>
          <w:i/>
          <w:sz w:val="20"/>
        </w:rPr>
      </w:pPr>
    </w:p>
    <w:p w:rsidR="00462257" w:rsidRDefault="00462257" w:rsidP="00D5302E">
      <w:pPr>
        <w:spacing w:after="0"/>
        <w:jc w:val="both"/>
        <w:rPr>
          <w:rFonts w:ascii="Arial" w:hAnsi="Arial"/>
          <w:sz w:val="20"/>
        </w:rPr>
      </w:pPr>
      <w:r>
        <w:rPr>
          <w:rFonts w:ascii="Arial" w:hAnsi="Arial"/>
          <w:b/>
          <w:i/>
          <w:sz w:val="20"/>
        </w:rPr>
        <w:t>2.5. Ларингијални напади</w:t>
      </w:r>
      <w:r>
        <w:rPr>
          <w:rFonts w:ascii="Arial" w:hAnsi="Arial"/>
          <w:sz w:val="20"/>
        </w:rPr>
        <w:t>. Постои значителен ризик од морталитет поврзан со ларингијал</w:t>
      </w:r>
      <w:r w:rsidR="00B86E13">
        <w:rPr>
          <w:rFonts w:ascii="Arial" w:hAnsi="Arial"/>
          <w:sz w:val="20"/>
        </w:rPr>
        <w:t>ни</w:t>
      </w:r>
      <w:r w:rsidR="00EA1B91">
        <w:rPr>
          <w:rFonts w:ascii="Arial" w:hAnsi="Arial"/>
          <w:sz w:val="20"/>
        </w:rPr>
        <w:t>те</w:t>
      </w:r>
      <w:r w:rsidR="00B86E13">
        <w:rPr>
          <w:rFonts w:ascii="Arial" w:hAnsi="Arial"/>
          <w:sz w:val="20"/>
        </w:rPr>
        <w:t xml:space="preserve"> напади и </w:t>
      </w:r>
      <w:r w:rsidR="002B0B53">
        <w:rPr>
          <w:rFonts w:ascii="Arial" w:hAnsi="Arial"/>
          <w:sz w:val="20"/>
        </w:rPr>
        <w:t xml:space="preserve">потребно е да се посвети </w:t>
      </w:r>
      <w:r w:rsidR="00B86E13">
        <w:rPr>
          <w:rFonts w:ascii="Arial" w:hAnsi="Arial"/>
          <w:sz w:val="20"/>
        </w:rPr>
        <w:t>соодветн</w:t>
      </w:r>
      <w:r w:rsidR="002B0B53">
        <w:rPr>
          <w:rFonts w:ascii="Arial" w:hAnsi="Arial"/>
          <w:sz w:val="20"/>
        </w:rPr>
        <w:t xml:space="preserve">о внимание при решавањето на </w:t>
      </w:r>
      <w:r w:rsidR="00EA1B91">
        <w:rPr>
          <w:rFonts w:ascii="Arial" w:hAnsi="Arial"/>
          <w:sz w:val="20"/>
        </w:rPr>
        <w:t>истите</w:t>
      </w:r>
      <w:r w:rsidR="002B0B53">
        <w:rPr>
          <w:rFonts w:ascii="Arial" w:hAnsi="Arial"/>
          <w:sz w:val="20"/>
        </w:rPr>
        <w:t>.</w:t>
      </w:r>
      <w:r w:rsidR="002B0B53">
        <w:rPr>
          <w:rFonts w:ascii="Arial" w:hAnsi="Arial"/>
          <w:sz w:val="20"/>
          <w:vertAlign w:val="superscript"/>
        </w:rPr>
        <w:t>12</w:t>
      </w:r>
      <w:r w:rsidR="002B0B53">
        <w:rPr>
          <w:rFonts w:ascii="Arial" w:hAnsi="Arial"/>
          <w:sz w:val="20"/>
        </w:rPr>
        <w:t xml:space="preserve"> Пациентите </w:t>
      </w:r>
      <w:r w:rsidR="00B065A0">
        <w:rPr>
          <w:rFonts w:ascii="Arial" w:hAnsi="Arial"/>
          <w:sz w:val="20"/>
        </w:rPr>
        <w:t>кои доживуваат симпто</w:t>
      </w:r>
      <w:r w:rsidR="00EA1B91">
        <w:rPr>
          <w:rFonts w:ascii="Arial" w:hAnsi="Arial"/>
          <w:sz w:val="20"/>
        </w:rPr>
        <w:t>ми на ларин</w:t>
      </w:r>
      <w:r w:rsidR="00B065A0">
        <w:rPr>
          <w:rFonts w:ascii="Arial" w:hAnsi="Arial"/>
          <w:sz w:val="20"/>
        </w:rPr>
        <w:t xml:space="preserve">ксот, јазикот или грлото треба да бараат медицинска помош што е можно поскоро, дури и по првата самоадминистрација. </w:t>
      </w:r>
    </w:p>
    <w:p w:rsidR="00C656BF" w:rsidRDefault="00C656BF" w:rsidP="00D5302E">
      <w:pPr>
        <w:spacing w:after="0"/>
        <w:jc w:val="both"/>
        <w:rPr>
          <w:rFonts w:ascii="Arial" w:hAnsi="Arial"/>
          <w:sz w:val="20"/>
        </w:rPr>
      </w:pPr>
    </w:p>
    <w:p w:rsidR="00781D70" w:rsidRDefault="00C656BF" w:rsidP="00D5302E">
      <w:pPr>
        <w:spacing w:after="0"/>
        <w:jc w:val="both"/>
        <w:rPr>
          <w:rFonts w:ascii="Arial" w:hAnsi="Arial"/>
          <w:sz w:val="20"/>
        </w:rPr>
      </w:pPr>
      <w:r w:rsidRPr="00C656BF">
        <w:rPr>
          <w:rFonts w:ascii="Arial" w:hAnsi="Arial"/>
          <w:b/>
          <w:i/>
          <w:sz w:val="20"/>
        </w:rPr>
        <w:t xml:space="preserve">2.6 Проценката на ефикасноста на третманот </w:t>
      </w:r>
      <w:r>
        <w:rPr>
          <w:rFonts w:ascii="Arial" w:hAnsi="Arial"/>
          <w:b/>
          <w:i/>
          <w:sz w:val="20"/>
        </w:rPr>
        <w:t xml:space="preserve">според побарувањето. </w:t>
      </w:r>
      <w:r w:rsidRPr="00C656BF">
        <w:rPr>
          <w:rFonts w:ascii="Arial" w:hAnsi="Arial"/>
          <w:sz w:val="20"/>
        </w:rPr>
        <w:t>Со пациентите</w:t>
      </w:r>
      <w:r w:rsidR="00FA6FFB">
        <w:rPr>
          <w:rFonts w:ascii="Arial" w:hAnsi="Arial"/>
          <w:sz w:val="20"/>
        </w:rPr>
        <w:t xml:space="preserve"> треба да се разговара за реалистичните очекувања околу ефикасноста на третманот. Третманите според побарувањата добро функционираат за да се спречи </w:t>
      </w:r>
      <w:r w:rsidR="00726264">
        <w:rPr>
          <w:rFonts w:ascii="Arial" w:hAnsi="Arial"/>
          <w:sz w:val="20"/>
        </w:rPr>
        <w:t xml:space="preserve">напад на оток од понатамошно напредување; меѓутоа, треба да помине време за да се повлече отокот. Поради тоа третирање на нападите во ран стадиум резултира во подобра контрола на симптомите. По започнувањето на третманот, ефектот од истиот може да се </w:t>
      </w:r>
      <w:r w:rsidR="00EA1B91">
        <w:rPr>
          <w:rFonts w:ascii="Arial" w:hAnsi="Arial"/>
          <w:sz w:val="20"/>
        </w:rPr>
        <w:t>осети по 30 до</w:t>
      </w:r>
      <w:r w:rsidR="00781D70">
        <w:rPr>
          <w:rFonts w:ascii="Arial" w:hAnsi="Arial"/>
          <w:sz w:val="20"/>
        </w:rPr>
        <w:t xml:space="preserve"> 60 минути. Во целина</w:t>
      </w:r>
      <w:r w:rsidR="00726264">
        <w:rPr>
          <w:rFonts w:ascii="Arial" w:hAnsi="Arial"/>
          <w:sz w:val="20"/>
        </w:rPr>
        <w:t>,</w:t>
      </w:r>
      <w:r w:rsidR="00781D70">
        <w:rPr>
          <w:rFonts w:ascii="Arial" w:hAnsi="Arial"/>
          <w:sz w:val="20"/>
        </w:rPr>
        <w:t xml:space="preserve"> не е задолжителна</w:t>
      </w:r>
      <w:r w:rsidR="00726264">
        <w:rPr>
          <w:rFonts w:ascii="Arial" w:hAnsi="Arial"/>
          <w:sz w:val="20"/>
        </w:rPr>
        <w:t xml:space="preserve"> втора доза од </w:t>
      </w:r>
      <w:r w:rsidR="00726264" w:rsidRPr="00EA1B91">
        <w:rPr>
          <w:rFonts w:ascii="Arial" w:hAnsi="Arial"/>
          <w:i/>
          <w:sz w:val="20"/>
        </w:rPr>
        <w:t>третманот според потребите</w:t>
      </w:r>
      <w:r w:rsidR="00781D70">
        <w:rPr>
          <w:rFonts w:ascii="Arial" w:hAnsi="Arial"/>
          <w:sz w:val="20"/>
        </w:rPr>
        <w:t xml:space="preserve"> освен ако нападот не започне да се влошува.</w:t>
      </w:r>
    </w:p>
    <w:p w:rsidR="00781D70" w:rsidRDefault="00781D70" w:rsidP="00D5302E">
      <w:pPr>
        <w:spacing w:after="0"/>
        <w:jc w:val="both"/>
        <w:rPr>
          <w:rFonts w:ascii="Arial" w:hAnsi="Arial"/>
          <w:sz w:val="20"/>
        </w:rPr>
      </w:pPr>
    </w:p>
    <w:p w:rsidR="008027D6" w:rsidRDefault="008027D6">
      <w:pPr>
        <w:rPr>
          <w:rFonts w:ascii="Arial" w:hAnsi="Arial"/>
          <w:b/>
          <w:sz w:val="20"/>
        </w:rPr>
      </w:pPr>
      <w:r>
        <w:rPr>
          <w:rFonts w:ascii="Arial" w:hAnsi="Arial"/>
          <w:b/>
          <w:sz w:val="20"/>
        </w:rPr>
        <w:br w:type="page"/>
      </w:r>
    </w:p>
    <w:p w:rsidR="008027D6" w:rsidRDefault="008027D6" w:rsidP="008027D6">
      <w:pPr>
        <w:rPr>
          <w:rFonts w:ascii="Arial" w:hAnsi="Arial"/>
          <w:b/>
        </w:rPr>
        <w:sectPr w:rsidR="008027D6" w:rsidSect="008027D6">
          <w:endnotePr>
            <w:numFmt w:val="decimal"/>
          </w:endnotePr>
          <w:type w:val="continuous"/>
          <w:pgSz w:w="12240" w:h="15840"/>
          <w:pgMar w:top="1440" w:right="1440" w:bottom="1440" w:left="1440" w:header="720" w:footer="720" w:gutter="0"/>
          <w:cols w:num="2" w:space="720"/>
          <w:docGrid w:linePitch="360"/>
        </w:sectPr>
      </w:pPr>
    </w:p>
    <w:p w:rsidR="008027D6" w:rsidRPr="008027D6" w:rsidRDefault="008027D6" w:rsidP="008027D6">
      <w:pPr>
        <w:rPr>
          <w:rFonts w:ascii="Arial" w:hAnsi="Arial"/>
        </w:rPr>
      </w:pPr>
      <w:r w:rsidRPr="008027D6">
        <w:rPr>
          <w:rFonts w:ascii="Arial" w:hAnsi="Arial"/>
          <w:b/>
        </w:rPr>
        <w:lastRenderedPageBreak/>
        <w:t>ТАБЕЛА II.</w:t>
      </w:r>
      <w:r w:rsidRPr="008027D6">
        <w:rPr>
          <w:rFonts w:ascii="Arial" w:hAnsi="Arial"/>
        </w:rPr>
        <w:t xml:space="preserve"> Лекови за </w:t>
      </w:r>
      <w:r w:rsidRPr="008027D6">
        <w:rPr>
          <w:rFonts w:ascii="Arial" w:hAnsi="Arial"/>
          <w:i/>
        </w:rPr>
        <w:t>профилактичен третман</w:t>
      </w:r>
      <w:r w:rsidRPr="008027D6">
        <w:rPr>
          <w:rFonts w:ascii="Arial" w:hAnsi="Arial"/>
        </w:rPr>
        <w:t xml:space="preserve"> на ХАЕ</w:t>
      </w:r>
    </w:p>
    <w:tbl>
      <w:tblPr>
        <w:tblStyle w:val="TableGrid2"/>
        <w:tblW w:w="0" w:type="auto"/>
        <w:tblLook w:val="04A0" w:firstRow="1" w:lastRow="0" w:firstColumn="1" w:lastColumn="0" w:noHBand="0" w:noVBand="1"/>
      </w:tblPr>
      <w:tblGrid>
        <w:gridCol w:w="1585"/>
        <w:gridCol w:w="1318"/>
        <w:gridCol w:w="1312"/>
        <w:gridCol w:w="1914"/>
        <w:gridCol w:w="3447"/>
      </w:tblGrid>
      <w:tr w:rsidR="008027D6" w:rsidRPr="008027D6" w:rsidTr="008027D6">
        <w:tc>
          <w:tcPr>
            <w:tcW w:w="1524" w:type="dxa"/>
          </w:tcPr>
          <w:p w:rsidR="008027D6" w:rsidRPr="008027D6" w:rsidRDefault="008027D6" w:rsidP="008027D6">
            <w:pPr>
              <w:rPr>
                <w:rFonts w:ascii="Arial" w:hAnsi="Arial"/>
                <w:b/>
                <w:sz w:val="18"/>
                <w:szCs w:val="20"/>
              </w:rPr>
            </w:pPr>
            <w:r w:rsidRPr="008027D6">
              <w:rPr>
                <w:rFonts w:ascii="Arial" w:hAnsi="Arial"/>
                <w:b/>
                <w:sz w:val="18"/>
                <w:szCs w:val="20"/>
              </w:rPr>
              <w:t>Генеричко име</w:t>
            </w:r>
          </w:p>
          <w:p w:rsidR="008027D6" w:rsidRPr="008027D6" w:rsidRDefault="008027D6" w:rsidP="008027D6">
            <w:pPr>
              <w:rPr>
                <w:rFonts w:ascii="Arial" w:hAnsi="Arial"/>
                <w:b/>
                <w:sz w:val="18"/>
                <w:szCs w:val="20"/>
              </w:rPr>
            </w:pPr>
            <w:r w:rsidRPr="008027D6">
              <w:rPr>
                <w:rFonts w:ascii="Arial" w:hAnsi="Arial"/>
                <w:b/>
                <w:sz w:val="18"/>
                <w:szCs w:val="20"/>
              </w:rPr>
              <w:t>(трговско име, компанија)</w:t>
            </w:r>
          </w:p>
        </w:tc>
        <w:tc>
          <w:tcPr>
            <w:tcW w:w="1319" w:type="dxa"/>
          </w:tcPr>
          <w:p w:rsidR="008027D6" w:rsidRPr="008027D6" w:rsidRDefault="008027D6" w:rsidP="008027D6">
            <w:pPr>
              <w:rPr>
                <w:rFonts w:ascii="Arial" w:hAnsi="Arial"/>
                <w:b/>
                <w:sz w:val="18"/>
              </w:rPr>
            </w:pPr>
            <w:r w:rsidRPr="008027D6">
              <w:rPr>
                <w:rFonts w:ascii="Arial" w:hAnsi="Arial"/>
                <w:b/>
                <w:sz w:val="18"/>
              </w:rPr>
              <w:t>Индикации на АХЛ</w:t>
            </w:r>
          </w:p>
        </w:tc>
        <w:tc>
          <w:tcPr>
            <w:tcW w:w="1312" w:type="dxa"/>
          </w:tcPr>
          <w:p w:rsidR="008027D6" w:rsidRPr="008027D6" w:rsidRDefault="008027D6" w:rsidP="008027D6">
            <w:pPr>
              <w:rPr>
                <w:rFonts w:ascii="Arial" w:hAnsi="Arial"/>
                <w:b/>
                <w:sz w:val="18"/>
              </w:rPr>
            </w:pPr>
            <w:r w:rsidRPr="008027D6">
              <w:rPr>
                <w:rFonts w:ascii="Arial" w:hAnsi="Arial"/>
                <w:b/>
                <w:sz w:val="18"/>
              </w:rPr>
              <w:t>Вообичаено дозирање за возрасни*</w:t>
            </w:r>
          </w:p>
        </w:tc>
        <w:tc>
          <w:tcPr>
            <w:tcW w:w="1262" w:type="dxa"/>
          </w:tcPr>
          <w:p w:rsidR="008027D6" w:rsidRPr="008027D6" w:rsidRDefault="008027D6" w:rsidP="008027D6">
            <w:pPr>
              <w:rPr>
                <w:rFonts w:ascii="Arial" w:hAnsi="Arial"/>
                <w:b/>
                <w:sz w:val="18"/>
              </w:rPr>
            </w:pPr>
            <w:r w:rsidRPr="008027D6">
              <w:rPr>
                <w:rFonts w:ascii="Arial" w:hAnsi="Arial"/>
                <w:b/>
                <w:sz w:val="18"/>
              </w:rPr>
              <w:t>Механизам</w:t>
            </w:r>
          </w:p>
        </w:tc>
        <w:tc>
          <w:tcPr>
            <w:tcW w:w="3511" w:type="dxa"/>
          </w:tcPr>
          <w:p w:rsidR="008027D6" w:rsidRPr="008027D6" w:rsidRDefault="008027D6" w:rsidP="008027D6">
            <w:pPr>
              <w:rPr>
                <w:rFonts w:ascii="Arial" w:hAnsi="Arial"/>
                <w:b/>
                <w:sz w:val="18"/>
              </w:rPr>
            </w:pPr>
            <w:r w:rsidRPr="008027D6">
              <w:rPr>
                <w:rFonts w:ascii="Arial" w:hAnsi="Arial"/>
                <w:b/>
                <w:sz w:val="18"/>
              </w:rPr>
              <w:t>Предвидени потенцијални негативни ефекти</w:t>
            </w: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Понови</w:t>
            </w:r>
          </w:p>
        </w:tc>
        <w:tc>
          <w:tcPr>
            <w:tcW w:w="1319" w:type="dxa"/>
          </w:tcPr>
          <w:p w:rsidR="008027D6" w:rsidRPr="008027D6" w:rsidRDefault="008027D6" w:rsidP="008027D6">
            <w:pPr>
              <w:rPr>
                <w:rFonts w:ascii="Arial" w:hAnsi="Arial"/>
                <w:sz w:val="18"/>
              </w:rPr>
            </w:pPr>
          </w:p>
        </w:tc>
        <w:tc>
          <w:tcPr>
            <w:tcW w:w="1312" w:type="dxa"/>
          </w:tcPr>
          <w:p w:rsidR="008027D6" w:rsidRPr="008027D6" w:rsidRDefault="008027D6" w:rsidP="008027D6">
            <w:pPr>
              <w:rPr>
                <w:rFonts w:ascii="Arial" w:hAnsi="Arial"/>
                <w:sz w:val="18"/>
              </w:rPr>
            </w:pPr>
          </w:p>
        </w:tc>
        <w:tc>
          <w:tcPr>
            <w:tcW w:w="1262" w:type="dxa"/>
          </w:tcPr>
          <w:p w:rsidR="008027D6" w:rsidRPr="008027D6" w:rsidRDefault="008027D6" w:rsidP="008027D6">
            <w:pPr>
              <w:rPr>
                <w:rFonts w:ascii="Arial" w:hAnsi="Arial"/>
                <w:sz w:val="18"/>
              </w:rPr>
            </w:pPr>
          </w:p>
        </w:tc>
        <w:tc>
          <w:tcPr>
            <w:tcW w:w="3511" w:type="dxa"/>
          </w:tcPr>
          <w:p w:rsidR="008027D6" w:rsidRPr="008027D6" w:rsidRDefault="008027D6" w:rsidP="008027D6">
            <w:pPr>
              <w:rPr>
                <w:rFonts w:ascii="Arial" w:hAnsi="Arial"/>
                <w:sz w:val="18"/>
              </w:rPr>
            </w:pP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C1INH добиен од плазма (Цинриз, „Вирофарма“)</w:t>
            </w:r>
          </w:p>
        </w:tc>
        <w:tc>
          <w:tcPr>
            <w:tcW w:w="1319" w:type="dxa"/>
          </w:tcPr>
          <w:p w:rsidR="008027D6" w:rsidRPr="008027D6" w:rsidRDefault="008027D6" w:rsidP="008027D6">
            <w:pPr>
              <w:rPr>
                <w:rFonts w:ascii="Arial" w:hAnsi="Arial"/>
                <w:sz w:val="18"/>
              </w:rPr>
            </w:pPr>
            <w:r w:rsidRPr="008027D6">
              <w:rPr>
                <w:rFonts w:ascii="Arial" w:hAnsi="Arial"/>
                <w:sz w:val="18"/>
              </w:rPr>
              <w:t>Одобрен за профилакса кај возрасни и адолесценти</w:t>
            </w:r>
          </w:p>
        </w:tc>
        <w:tc>
          <w:tcPr>
            <w:tcW w:w="1312" w:type="dxa"/>
          </w:tcPr>
          <w:p w:rsidR="008027D6" w:rsidRPr="008027D6" w:rsidRDefault="008027D6" w:rsidP="008027D6">
            <w:pPr>
              <w:rPr>
                <w:rFonts w:ascii="Arial" w:hAnsi="Arial"/>
                <w:sz w:val="18"/>
              </w:rPr>
            </w:pPr>
            <w:r w:rsidRPr="008027D6">
              <w:rPr>
                <w:rFonts w:ascii="Arial" w:hAnsi="Arial"/>
                <w:sz w:val="18"/>
              </w:rPr>
              <w:t>1000 U интравенски</w:t>
            </w:r>
          </w:p>
          <w:p w:rsidR="008027D6" w:rsidRPr="008027D6" w:rsidRDefault="008027D6" w:rsidP="008027D6">
            <w:pPr>
              <w:rPr>
                <w:rFonts w:ascii="Arial" w:hAnsi="Arial"/>
                <w:sz w:val="18"/>
              </w:rPr>
            </w:pPr>
            <w:r w:rsidRPr="008027D6">
              <w:rPr>
                <w:rFonts w:ascii="Arial" w:hAnsi="Arial"/>
                <w:sz w:val="18"/>
              </w:rPr>
              <w:t>Двапати неделно</w:t>
            </w:r>
          </w:p>
        </w:tc>
        <w:tc>
          <w:tcPr>
            <w:tcW w:w="1262" w:type="dxa"/>
          </w:tcPr>
          <w:p w:rsidR="008027D6" w:rsidRPr="008027D6" w:rsidRDefault="008027D6" w:rsidP="008027D6">
            <w:pPr>
              <w:rPr>
                <w:rFonts w:ascii="Arial" w:hAnsi="Arial"/>
                <w:sz w:val="18"/>
              </w:rPr>
            </w:pPr>
            <w:r w:rsidRPr="008027D6">
              <w:rPr>
                <w:rFonts w:ascii="Arial" w:hAnsi="Arial"/>
                <w:sz w:val="18"/>
              </w:rPr>
              <w:t xml:space="preserve">Го инхибира каликреинот на плазмата, фактори на коагулација XIIа и </w:t>
            </w:r>
            <w:proofErr w:type="spellStart"/>
            <w:r w:rsidRPr="008027D6">
              <w:rPr>
                <w:rFonts w:ascii="Arial" w:hAnsi="Arial"/>
                <w:sz w:val="18"/>
              </w:rPr>
              <w:t>XIa</w:t>
            </w:r>
            <w:proofErr w:type="spellEnd"/>
            <w:r w:rsidRPr="008027D6">
              <w:rPr>
                <w:rFonts w:ascii="Arial" w:hAnsi="Arial"/>
                <w:sz w:val="18"/>
              </w:rPr>
              <w:t>, C1s, C1r, MASP-1, MASP-2 и плазмин</w:t>
            </w:r>
          </w:p>
        </w:tc>
        <w:tc>
          <w:tcPr>
            <w:tcW w:w="3511" w:type="dxa"/>
          </w:tcPr>
          <w:p w:rsidR="008027D6" w:rsidRPr="008027D6" w:rsidRDefault="008027D6" w:rsidP="008027D6">
            <w:pPr>
              <w:rPr>
                <w:rFonts w:ascii="Arial" w:hAnsi="Arial"/>
                <w:sz w:val="18"/>
              </w:rPr>
            </w:pPr>
            <w:r w:rsidRPr="008027D6">
              <w:rPr>
                <w:rFonts w:ascii="Arial" w:hAnsi="Arial"/>
                <w:sz w:val="18"/>
              </w:rPr>
              <w:t>Ретко: ризик од анафилакса или тромбоза; теоретски, пренос на инфективни причинители</w:t>
            </w: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Постари</w:t>
            </w:r>
          </w:p>
        </w:tc>
        <w:tc>
          <w:tcPr>
            <w:tcW w:w="1319" w:type="dxa"/>
          </w:tcPr>
          <w:p w:rsidR="008027D6" w:rsidRPr="008027D6" w:rsidRDefault="008027D6" w:rsidP="008027D6">
            <w:pPr>
              <w:rPr>
                <w:rFonts w:ascii="Arial" w:hAnsi="Arial"/>
                <w:sz w:val="18"/>
              </w:rPr>
            </w:pPr>
          </w:p>
        </w:tc>
        <w:tc>
          <w:tcPr>
            <w:tcW w:w="1312" w:type="dxa"/>
          </w:tcPr>
          <w:p w:rsidR="008027D6" w:rsidRPr="008027D6" w:rsidRDefault="008027D6" w:rsidP="008027D6">
            <w:pPr>
              <w:rPr>
                <w:rFonts w:ascii="Arial" w:hAnsi="Arial"/>
                <w:sz w:val="18"/>
              </w:rPr>
            </w:pPr>
          </w:p>
        </w:tc>
        <w:tc>
          <w:tcPr>
            <w:tcW w:w="1262" w:type="dxa"/>
          </w:tcPr>
          <w:p w:rsidR="008027D6" w:rsidRPr="008027D6" w:rsidRDefault="008027D6" w:rsidP="008027D6">
            <w:pPr>
              <w:rPr>
                <w:rFonts w:ascii="Arial" w:hAnsi="Arial"/>
                <w:sz w:val="18"/>
              </w:rPr>
            </w:pPr>
          </w:p>
        </w:tc>
        <w:tc>
          <w:tcPr>
            <w:tcW w:w="3511" w:type="dxa"/>
          </w:tcPr>
          <w:p w:rsidR="008027D6" w:rsidRPr="008027D6" w:rsidRDefault="008027D6" w:rsidP="008027D6">
            <w:pPr>
              <w:rPr>
                <w:rFonts w:ascii="Arial" w:hAnsi="Arial"/>
                <w:sz w:val="18"/>
              </w:rPr>
            </w:pP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Даназол (Данакрејн, „Санофи-Синтелабо“, Њујорк)</w:t>
            </w:r>
          </w:p>
        </w:tc>
        <w:tc>
          <w:tcPr>
            <w:tcW w:w="1319" w:type="dxa"/>
          </w:tcPr>
          <w:p w:rsidR="008027D6" w:rsidRPr="008027D6" w:rsidRDefault="008027D6" w:rsidP="008027D6">
            <w:pPr>
              <w:rPr>
                <w:rFonts w:ascii="Arial" w:hAnsi="Arial"/>
                <w:sz w:val="18"/>
              </w:rPr>
            </w:pPr>
            <w:r w:rsidRPr="008027D6">
              <w:rPr>
                <w:rFonts w:ascii="Arial" w:hAnsi="Arial"/>
                <w:sz w:val="18"/>
              </w:rPr>
              <w:t>Одобрен за профилакса кај возрасни</w:t>
            </w:r>
          </w:p>
        </w:tc>
        <w:tc>
          <w:tcPr>
            <w:tcW w:w="1312" w:type="dxa"/>
          </w:tcPr>
          <w:p w:rsidR="008027D6" w:rsidRPr="008027D6" w:rsidRDefault="008027D6" w:rsidP="008027D6">
            <w:pPr>
              <w:rPr>
                <w:rFonts w:ascii="Arial" w:hAnsi="Arial"/>
                <w:sz w:val="18"/>
              </w:rPr>
            </w:pPr>
            <w:r w:rsidRPr="008027D6">
              <w:rPr>
                <w:rFonts w:ascii="Arial" w:hAnsi="Arial"/>
                <w:sz w:val="18"/>
              </w:rPr>
              <w:t>200mg/d или помалку</w:t>
            </w:r>
          </w:p>
        </w:tc>
        <w:tc>
          <w:tcPr>
            <w:tcW w:w="1262" w:type="dxa"/>
          </w:tcPr>
          <w:p w:rsidR="008027D6" w:rsidRPr="008027D6" w:rsidRDefault="008027D6" w:rsidP="008027D6">
            <w:pPr>
              <w:rPr>
                <w:rFonts w:ascii="Arial" w:hAnsi="Arial"/>
                <w:sz w:val="18"/>
              </w:rPr>
            </w:pPr>
            <w:r w:rsidRPr="008027D6">
              <w:rPr>
                <w:rFonts w:ascii="Arial" w:hAnsi="Arial"/>
                <w:sz w:val="18"/>
              </w:rPr>
              <w:t>17-</w:t>
            </w:r>
            <w:r w:rsidRPr="008027D6">
              <w:rPr>
                <w:rFonts w:ascii="Cambria Math" w:hAnsi="Cambria Math"/>
                <w:sz w:val="18"/>
              </w:rPr>
              <w:t>⍺</w:t>
            </w:r>
            <w:r w:rsidRPr="008027D6">
              <w:rPr>
                <w:rFonts w:ascii="Arial" w:hAnsi="Arial"/>
                <w:sz w:val="18"/>
              </w:rPr>
              <w:t>-алкалирани андрогени, непознат механизам на дејство</w:t>
            </w:r>
          </w:p>
        </w:tc>
        <w:tc>
          <w:tcPr>
            <w:tcW w:w="3511" w:type="dxa"/>
          </w:tcPr>
          <w:p w:rsidR="008027D6" w:rsidRPr="008027D6" w:rsidRDefault="008027D6" w:rsidP="008027D6">
            <w:pPr>
              <w:rPr>
                <w:rFonts w:ascii="Arial" w:hAnsi="Arial"/>
                <w:sz w:val="18"/>
              </w:rPr>
            </w:pPr>
            <w:r w:rsidRPr="008027D6">
              <w:rPr>
                <w:rFonts w:ascii="Arial" w:hAnsi="Arial"/>
                <w:sz w:val="18"/>
              </w:rPr>
              <w:t>Вообичаено: дебелеење, вирилизација, акни, променето либидо, болки во мускулите и грчеви, главоболки, депресија, замор, лошење, запек, менструални аномалии, зголемување на ензимите на џигерот, хипертензија и промени во липидниот профил; невообичаено: намалена стапка на растење кај децата, маскулинизација на женски фетус, холестатска жолтица, пелиозис хепатис и хепатоцелуларен аденом</w:t>
            </w: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Станозолол (Винстрол)</w:t>
            </w:r>
          </w:p>
        </w:tc>
        <w:tc>
          <w:tcPr>
            <w:tcW w:w="1319" w:type="dxa"/>
          </w:tcPr>
          <w:p w:rsidR="008027D6" w:rsidRPr="008027D6" w:rsidRDefault="008027D6" w:rsidP="008027D6">
            <w:pPr>
              <w:rPr>
                <w:rFonts w:ascii="Arial" w:hAnsi="Arial"/>
                <w:sz w:val="18"/>
              </w:rPr>
            </w:pPr>
            <w:r w:rsidRPr="008027D6">
              <w:rPr>
                <w:rFonts w:ascii="Arial" w:hAnsi="Arial"/>
                <w:sz w:val="18"/>
              </w:rPr>
              <w:t>Одобрен за профилакса</w:t>
            </w:r>
          </w:p>
        </w:tc>
        <w:tc>
          <w:tcPr>
            <w:tcW w:w="1312" w:type="dxa"/>
          </w:tcPr>
          <w:p w:rsidR="008027D6" w:rsidRPr="008027D6" w:rsidRDefault="008027D6" w:rsidP="008027D6">
            <w:pPr>
              <w:rPr>
                <w:rFonts w:ascii="Arial" w:hAnsi="Arial"/>
                <w:sz w:val="18"/>
              </w:rPr>
            </w:pPr>
            <w:r w:rsidRPr="008027D6">
              <w:rPr>
                <w:rFonts w:ascii="Arial" w:hAnsi="Arial"/>
                <w:sz w:val="18"/>
              </w:rPr>
              <w:t>2mg/d или помалку</w:t>
            </w:r>
          </w:p>
        </w:tc>
        <w:tc>
          <w:tcPr>
            <w:tcW w:w="1262" w:type="dxa"/>
          </w:tcPr>
          <w:p w:rsidR="008027D6" w:rsidRPr="008027D6" w:rsidRDefault="008027D6" w:rsidP="008027D6">
            <w:pPr>
              <w:rPr>
                <w:rFonts w:ascii="Arial" w:hAnsi="Arial"/>
                <w:sz w:val="18"/>
              </w:rPr>
            </w:pPr>
            <w:r w:rsidRPr="008027D6">
              <w:rPr>
                <w:rFonts w:ascii="Arial" w:hAnsi="Arial"/>
                <w:sz w:val="18"/>
              </w:rPr>
              <w:t>(Исто како погоре)</w:t>
            </w:r>
          </w:p>
        </w:tc>
        <w:tc>
          <w:tcPr>
            <w:tcW w:w="3511" w:type="dxa"/>
          </w:tcPr>
          <w:p w:rsidR="008027D6" w:rsidRPr="008027D6" w:rsidRDefault="008027D6" w:rsidP="008027D6">
            <w:pPr>
              <w:rPr>
                <w:rFonts w:ascii="Arial" w:hAnsi="Arial"/>
                <w:sz w:val="16"/>
              </w:rPr>
            </w:pP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Оксандралон (Оксандрин, Савиент, Бриџвотр, Њу Џерзи)</w:t>
            </w:r>
          </w:p>
        </w:tc>
        <w:tc>
          <w:tcPr>
            <w:tcW w:w="1319" w:type="dxa"/>
          </w:tcPr>
          <w:p w:rsidR="008027D6" w:rsidRPr="008027D6" w:rsidRDefault="008027D6" w:rsidP="008027D6">
            <w:pPr>
              <w:rPr>
                <w:rFonts w:ascii="Arial" w:hAnsi="Arial"/>
                <w:sz w:val="18"/>
              </w:rPr>
            </w:pPr>
            <w:r w:rsidRPr="008027D6">
              <w:rPr>
                <w:rFonts w:ascii="Arial" w:hAnsi="Arial"/>
                <w:sz w:val="18"/>
              </w:rPr>
              <w:t>Не е одобрено од АХЛ</w:t>
            </w:r>
          </w:p>
        </w:tc>
        <w:tc>
          <w:tcPr>
            <w:tcW w:w="1312" w:type="dxa"/>
          </w:tcPr>
          <w:p w:rsidR="008027D6" w:rsidRPr="008027D6" w:rsidRDefault="008027D6" w:rsidP="008027D6">
            <w:pPr>
              <w:rPr>
                <w:rFonts w:ascii="Arial" w:hAnsi="Arial"/>
                <w:sz w:val="18"/>
              </w:rPr>
            </w:pPr>
            <w:r w:rsidRPr="008027D6">
              <w:rPr>
                <w:rFonts w:ascii="Arial" w:hAnsi="Arial"/>
                <w:sz w:val="18"/>
              </w:rPr>
              <w:t>10mg/d или помалку</w:t>
            </w:r>
          </w:p>
        </w:tc>
        <w:tc>
          <w:tcPr>
            <w:tcW w:w="1262" w:type="dxa"/>
          </w:tcPr>
          <w:p w:rsidR="008027D6" w:rsidRPr="008027D6" w:rsidRDefault="008027D6" w:rsidP="008027D6">
            <w:pPr>
              <w:rPr>
                <w:rFonts w:ascii="Arial" w:hAnsi="Arial"/>
                <w:sz w:val="18"/>
              </w:rPr>
            </w:pPr>
            <w:r w:rsidRPr="008027D6">
              <w:rPr>
                <w:rFonts w:ascii="Arial" w:hAnsi="Arial"/>
                <w:sz w:val="18"/>
              </w:rPr>
              <w:t>(Исто како погоре)</w:t>
            </w:r>
          </w:p>
        </w:tc>
        <w:tc>
          <w:tcPr>
            <w:tcW w:w="3511" w:type="dxa"/>
          </w:tcPr>
          <w:p w:rsidR="008027D6" w:rsidRPr="008027D6" w:rsidRDefault="008027D6" w:rsidP="008027D6">
            <w:pPr>
              <w:rPr>
                <w:rFonts w:ascii="Arial" w:hAnsi="Arial"/>
                <w:sz w:val="18"/>
              </w:rPr>
            </w:pP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Метил тестостерон</w:t>
            </w:r>
          </w:p>
          <w:p w:rsidR="008027D6" w:rsidRPr="008027D6" w:rsidRDefault="008027D6" w:rsidP="008027D6">
            <w:pPr>
              <w:rPr>
                <w:rFonts w:ascii="Arial" w:hAnsi="Arial"/>
                <w:sz w:val="18"/>
              </w:rPr>
            </w:pPr>
            <w:r w:rsidRPr="008027D6">
              <w:rPr>
                <w:rFonts w:ascii="Arial" w:hAnsi="Arial"/>
                <w:sz w:val="18"/>
              </w:rPr>
              <w:t>(Андроид, Валеант, Бриџвотр, Њу Џерзи</w:t>
            </w:r>
          </w:p>
        </w:tc>
        <w:tc>
          <w:tcPr>
            <w:tcW w:w="1319" w:type="dxa"/>
          </w:tcPr>
          <w:p w:rsidR="008027D6" w:rsidRPr="008027D6" w:rsidRDefault="008027D6" w:rsidP="008027D6">
            <w:pPr>
              <w:rPr>
                <w:rFonts w:ascii="Arial" w:hAnsi="Arial"/>
                <w:sz w:val="18"/>
              </w:rPr>
            </w:pPr>
            <w:r w:rsidRPr="008027D6">
              <w:rPr>
                <w:rFonts w:ascii="Arial" w:hAnsi="Arial"/>
                <w:sz w:val="18"/>
              </w:rPr>
              <w:t>Не е одобрено од АХЛ</w:t>
            </w:r>
          </w:p>
        </w:tc>
        <w:tc>
          <w:tcPr>
            <w:tcW w:w="1312" w:type="dxa"/>
          </w:tcPr>
          <w:p w:rsidR="008027D6" w:rsidRPr="008027D6" w:rsidRDefault="008027D6" w:rsidP="008027D6">
            <w:pPr>
              <w:rPr>
                <w:rFonts w:ascii="Arial" w:hAnsi="Arial"/>
                <w:sz w:val="18"/>
              </w:rPr>
            </w:pPr>
            <w:r w:rsidRPr="008027D6">
              <w:rPr>
                <w:rFonts w:ascii="Arial" w:hAnsi="Arial"/>
                <w:sz w:val="18"/>
              </w:rPr>
              <w:t>10mg/d или помалку</w:t>
            </w:r>
          </w:p>
        </w:tc>
        <w:tc>
          <w:tcPr>
            <w:tcW w:w="1262" w:type="dxa"/>
          </w:tcPr>
          <w:p w:rsidR="008027D6" w:rsidRPr="008027D6" w:rsidRDefault="008027D6" w:rsidP="008027D6">
            <w:pPr>
              <w:rPr>
                <w:rFonts w:ascii="Arial" w:hAnsi="Arial"/>
                <w:sz w:val="18"/>
              </w:rPr>
            </w:pPr>
            <w:r w:rsidRPr="008027D6">
              <w:rPr>
                <w:rFonts w:ascii="Arial" w:hAnsi="Arial"/>
                <w:sz w:val="18"/>
              </w:rPr>
              <w:t>(Исто како погоре)</w:t>
            </w:r>
          </w:p>
        </w:tc>
        <w:tc>
          <w:tcPr>
            <w:tcW w:w="3511" w:type="dxa"/>
          </w:tcPr>
          <w:p w:rsidR="008027D6" w:rsidRPr="008027D6" w:rsidRDefault="008027D6" w:rsidP="008027D6">
            <w:pPr>
              <w:rPr>
                <w:rFonts w:ascii="Arial" w:hAnsi="Arial"/>
                <w:sz w:val="18"/>
              </w:rPr>
            </w:pP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Епсилон аминокапронска киселина (Амикар, ксанодин, Њупорт, Кентаки)</w:t>
            </w:r>
          </w:p>
        </w:tc>
        <w:tc>
          <w:tcPr>
            <w:tcW w:w="1319" w:type="dxa"/>
          </w:tcPr>
          <w:p w:rsidR="008027D6" w:rsidRPr="008027D6" w:rsidRDefault="008027D6" w:rsidP="008027D6">
            <w:pPr>
              <w:rPr>
                <w:rFonts w:ascii="Arial" w:hAnsi="Arial"/>
                <w:i/>
                <w:sz w:val="18"/>
              </w:rPr>
            </w:pPr>
            <w:r w:rsidRPr="008027D6">
              <w:rPr>
                <w:rFonts w:ascii="Arial" w:hAnsi="Arial"/>
                <w:sz w:val="18"/>
              </w:rPr>
              <w:t xml:space="preserve">Не е одобрено од АХЛ </w:t>
            </w:r>
          </w:p>
        </w:tc>
        <w:tc>
          <w:tcPr>
            <w:tcW w:w="1312" w:type="dxa"/>
          </w:tcPr>
          <w:p w:rsidR="008027D6" w:rsidRPr="008027D6" w:rsidRDefault="008027D6" w:rsidP="008027D6">
            <w:pPr>
              <w:rPr>
                <w:rFonts w:ascii="Arial" w:hAnsi="Arial"/>
                <w:sz w:val="18"/>
              </w:rPr>
            </w:pPr>
            <w:r w:rsidRPr="008027D6">
              <w:rPr>
                <w:rFonts w:ascii="Arial" w:hAnsi="Arial"/>
                <w:sz w:val="18"/>
              </w:rPr>
              <w:t>1-2g TID</w:t>
            </w:r>
          </w:p>
        </w:tc>
        <w:tc>
          <w:tcPr>
            <w:tcW w:w="1262" w:type="dxa"/>
          </w:tcPr>
          <w:p w:rsidR="008027D6" w:rsidRPr="008027D6" w:rsidRDefault="008027D6" w:rsidP="008027D6">
            <w:pPr>
              <w:rPr>
                <w:rFonts w:ascii="Arial" w:hAnsi="Arial"/>
                <w:sz w:val="18"/>
              </w:rPr>
            </w:pPr>
            <w:r w:rsidRPr="008027D6">
              <w:rPr>
                <w:rFonts w:ascii="Arial" w:hAnsi="Arial"/>
                <w:sz w:val="18"/>
              </w:rPr>
              <w:t xml:space="preserve">Антифибриолитици, непознат механизам на дејство за ХАЕ </w:t>
            </w:r>
          </w:p>
        </w:tc>
        <w:tc>
          <w:tcPr>
            <w:tcW w:w="3511" w:type="dxa"/>
          </w:tcPr>
          <w:p w:rsidR="008027D6" w:rsidRPr="008027D6" w:rsidRDefault="008027D6" w:rsidP="008027D6">
            <w:pPr>
              <w:rPr>
                <w:rFonts w:ascii="Arial" w:hAnsi="Arial"/>
                <w:sz w:val="18"/>
              </w:rPr>
            </w:pPr>
            <w:r w:rsidRPr="008027D6">
              <w:rPr>
                <w:rFonts w:ascii="Arial" w:hAnsi="Arial"/>
                <w:sz w:val="18"/>
              </w:rPr>
              <w:t xml:space="preserve">Вообичаено: лошење, вертиго, дијареа, постурална хипотензија, замор, грчеви во мускулите, повреди на мускулите; невообичаено: тромбоза, напади </w:t>
            </w:r>
          </w:p>
        </w:tc>
      </w:tr>
      <w:tr w:rsidR="008027D6" w:rsidRPr="008027D6" w:rsidTr="008027D6">
        <w:tc>
          <w:tcPr>
            <w:tcW w:w="1524" w:type="dxa"/>
          </w:tcPr>
          <w:p w:rsidR="008027D6" w:rsidRPr="008027D6" w:rsidRDefault="008027D6" w:rsidP="008027D6">
            <w:pPr>
              <w:rPr>
                <w:rFonts w:ascii="Arial" w:hAnsi="Arial"/>
                <w:sz w:val="18"/>
              </w:rPr>
            </w:pPr>
            <w:r w:rsidRPr="008027D6">
              <w:rPr>
                <w:rFonts w:ascii="Arial" w:hAnsi="Arial"/>
                <w:sz w:val="18"/>
              </w:rPr>
              <w:t>Трансегземска киселина (Листеда, Феринг, Парсипани, Њу Џерзи)</w:t>
            </w:r>
          </w:p>
        </w:tc>
        <w:tc>
          <w:tcPr>
            <w:tcW w:w="1319" w:type="dxa"/>
          </w:tcPr>
          <w:p w:rsidR="008027D6" w:rsidRPr="008027D6" w:rsidRDefault="008027D6" w:rsidP="008027D6">
            <w:pPr>
              <w:rPr>
                <w:rFonts w:ascii="Arial" w:hAnsi="Arial"/>
                <w:sz w:val="18"/>
              </w:rPr>
            </w:pPr>
            <w:r w:rsidRPr="008027D6">
              <w:rPr>
                <w:rFonts w:ascii="Arial" w:hAnsi="Arial"/>
                <w:sz w:val="18"/>
              </w:rPr>
              <w:t>Не е одобрено од АХЛ</w:t>
            </w:r>
          </w:p>
        </w:tc>
        <w:tc>
          <w:tcPr>
            <w:tcW w:w="1312" w:type="dxa"/>
          </w:tcPr>
          <w:p w:rsidR="008027D6" w:rsidRPr="008027D6" w:rsidRDefault="008027D6" w:rsidP="008027D6">
            <w:pPr>
              <w:rPr>
                <w:rFonts w:ascii="Arial" w:hAnsi="Arial"/>
                <w:sz w:val="18"/>
              </w:rPr>
            </w:pPr>
            <w:r w:rsidRPr="008027D6">
              <w:rPr>
                <w:rFonts w:ascii="Arial" w:hAnsi="Arial"/>
                <w:sz w:val="18"/>
              </w:rPr>
              <w:t>1g BID</w:t>
            </w:r>
          </w:p>
        </w:tc>
        <w:tc>
          <w:tcPr>
            <w:tcW w:w="1262" w:type="dxa"/>
          </w:tcPr>
          <w:p w:rsidR="008027D6" w:rsidRPr="008027D6" w:rsidRDefault="008027D6" w:rsidP="008027D6">
            <w:pPr>
              <w:rPr>
                <w:rFonts w:ascii="Arial" w:hAnsi="Arial"/>
                <w:sz w:val="18"/>
              </w:rPr>
            </w:pPr>
            <w:r w:rsidRPr="008027D6">
              <w:rPr>
                <w:rFonts w:ascii="Arial" w:hAnsi="Arial"/>
                <w:sz w:val="18"/>
              </w:rPr>
              <w:t>(Исто како погоре)</w:t>
            </w:r>
          </w:p>
        </w:tc>
        <w:tc>
          <w:tcPr>
            <w:tcW w:w="3511" w:type="dxa"/>
          </w:tcPr>
          <w:p w:rsidR="008027D6" w:rsidRPr="008027D6" w:rsidRDefault="008027D6" w:rsidP="008027D6">
            <w:pPr>
              <w:rPr>
                <w:rFonts w:ascii="Arial" w:hAnsi="Arial"/>
                <w:sz w:val="18"/>
              </w:rPr>
            </w:pPr>
          </w:p>
        </w:tc>
      </w:tr>
    </w:tbl>
    <w:p w:rsidR="008027D6" w:rsidRPr="008027D6" w:rsidRDefault="008027D6" w:rsidP="008027D6">
      <w:pPr>
        <w:spacing w:after="0"/>
        <w:rPr>
          <w:rFonts w:ascii="Arial" w:hAnsi="Arial"/>
          <w:i/>
          <w:sz w:val="18"/>
        </w:rPr>
      </w:pPr>
      <w:proofErr w:type="gramStart"/>
      <w:r w:rsidRPr="008027D6">
        <w:rPr>
          <w:rFonts w:ascii="Arial" w:hAnsi="Arial"/>
          <w:sz w:val="18"/>
        </w:rPr>
        <w:t xml:space="preserve">BID, Двапати на ден; MASP, манозно-асоцирана серин протеаза; </w:t>
      </w:r>
      <w:r w:rsidRPr="008027D6">
        <w:rPr>
          <w:rFonts w:ascii="Arial" w:hAnsi="Arial"/>
          <w:i/>
          <w:sz w:val="18"/>
        </w:rPr>
        <w:t>TID, трипати на ден.</w:t>
      </w:r>
      <w:proofErr w:type="gramEnd"/>
    </w:p>
    <w:p w:rsidR="008027D6" w:rsidRPr="008027D6" w:rsidRDefault="008027D6" w:rsidP="008027D6">
      <w:pPr>
        <w:spacing w:after="0"/>
        <w:rPr>
          <w:rFonts w:ascii="Arial" w:hAnsi="Arial"/>
          <w:i/>
          <w:sz w:val="18"/>
        </w:rPr>
      </w:pPr>
      <w:r w:rsidRPr="008027D6">
        <w:rPr>
          <w:rFonts w:ascii="Arial" w:hAnsi="Arial"/>
          <w:i/>
          <w:sz w:val="18"/>
        </w:rPr>
        <w:t>*Овие се просечни дози кои мора да се индивидуализираат.</w:t>
      </w:r>
    </w:p>
    <w:p w:rsidR="008027D6" w:rsidRPr="008027D6" w:rsidRDefault="008027D6" w:rsidP="008027D6">
      <w:pPr>
        <w:rPr>
          <w:rFonts w:ascii="Arial" w:hAnsi="Arial"/>
          <w:b/>
          <w:sz w:val="18"/>
        </w:rPr>
      </w:pPr>
    </w:p>
    <w:p w:rsidR="008027D6" w:rsidRDefault="008027D6">
      <w:pPr>
        <w:rPr>
          <w:rFonts w:ascii="Arial" w:hAnsi="Arial"/>
          <w:b/>
          <w:sz w:val="20"/>
        </w:rPr>
        <w:sectPr w:rsidR="008027D6" w:rsidSect="008027D6">
          <w:endnotePr>
            <w:numFmt w:val="decimal"/>
          </w:endnotePr>
          <w:type w:val="continuous"/>
          <w:pgSz w:w="12240" w:h="15840"/>
          <w:pgMar w:top="1440" w:right="1440" w:bottom="1440" w:left="1440" w:header="720" w:footer="720" w:gutter="0"/>
          <w:cols w:space="720"/>
          <w:docGrid w:linePitch="360"/>
        </w:sectPr>
      </w:pPr>
    </w:p>
    <w:p w:rsidR="008027D6" w:rsidRDefault="008027D6">
      <w:pPr>
        <w:rPr>
          <w:rFonts w:ascii="Arial" w:hAnsi="Arial"/>
          <w:b/>
          <w:sz w:val="20"/>
        </w:rPr>
      </w:pPr>
      <w:r>
        <w:rPr>
          <w:rFonts w:ascii="Arial" w:hAnsi="Arial"/>
          <w:b/>
          <w:sz w:val="20"/>
        </w:rPr>
        <w:lastRenderedPageBreak/>
        <w:br w:type="page"/>
      </w:r>
    </w:p>
    <w:p w:rsidR="00C656BF" w:rsidRDefault="00781D70" w:rsidP="00D5302E">
      <w:pPr>
        <w:spacing w:after="0"/>
        <w:jc w:val="both"/>
        <w:rPr>
          <w:rFonts w:ascii="Arial" w:hAnsi="Arial"/>
          <w:sz w:val="20"/>
        </w:rPr>
      </w:pPr>
      <w:r>
        <w:rPr>
          <w:rFonts w:ascii="Arial" w:hAnsi="Arial"/>
          <w:b/>
          <w:sz w:val="20"/>
        </w:rPr>
        <w:lastRenderedPageBreak/>
        <w:t xml:space="preserve">Трет дел. Профилактички третман. </w:t>
      </w:r>
      <w:r>
        <w:rPr>
          <w:rFonts w:ascii="Arial" w:hAnsi="Arial"/>
          <w:sz w:val="20"/>
        </w:rPr>
        <w:t>Како дополнение на третирање</w:t>
      </w:r>
      <w:r w:rsidR="00EA1B91">
        <w:rPr>
          <w:rFonts w:ascii="Arial" w:hAnsi="Arial"/>
          <w:sz w:val="20"/>
        </w:rPr>
        <w:t>то</w:t>
      </w:r>
      <w:r>
        <w:rPr>
          <w:rFonts w:ascii="Arial" w:hAnsi="Arial"/>
          <w:sz w:val="20"/>
        </w:rPr>
        <w:t xml:space="preserve"> на акутните напади на ангиоедем, на пациентите со ХАЕ може да им е потребен профилактички третман. Целта </w:t>
      </w:r>
      <w:r w:rsidR="00EA1B91">
        <w:rPr>
          <w:rFonts w:ascii="Arial" w:hAnsi="Arial"/>
          <w:sz w:val="20"/>
        </w:rPr>
        <w:t>на профилактичкиот третман е</w:t>
      </w:r>
      <w:r>
        <w:rPr>
          <w:rFonts w:ascii="Arial" w:hAnsi="Arial"/>
          <w:sz w:val="20"/>
        </w:rPr>
        <w:t xml:space="preserve"> да се намали веројатноста од оток кај пациент кој</w:t>
      </w:r>
      <w:r w:rsidR="00EA1B91">
        <w:rPr>
          <w:rFonts w:ascii="Arial" w:hAnsi="Arial"/>
          <w:sz w:val="20"/>
        </w:rPr>
        <w:t xml:space="preserve"> или</w:t>
      </w:r>
      <w:r>
        <w:rPr>
          <w:rFonts w:ascii="Arial" w:hAnsi="Arial"/>
          <w:sz w:val="20"/>
        </w:rPr>
        <w:t xml:space="preserve"> е во стресна ситуација или треба да подлежи на процедура </w:t>
      </w:r>
      <w:r w:rsidR="00EA1B91">
        <w:rPr>
          <w:rFonts w:ascii="Arial" w:hAnsi="Arial"/>
          <w:sz w:val="20"/>
        </w:rPr>
        <w:t>што</w:t>
      </w:r>
      <w:r>
        <w:rPr>
          <w:rFonts w:ascii="Arial" w:hAnsi="Arial"/>
          <w:sz w:val="20"/>
        </w:rPr>
        <w:t xml:space="preserve"> може да го предизвика нападот</w:t>
      </w:r>
      <w:r w:rsidR="002E02BC">
        <w:rPr>
          <w:rFonts w:ascii="Arial" w:hAnsi="Arial"/>
          <w:sz w:val="20"/>
        </w:rPr>
        <w:t xml:space="preserve"> </w:t>
      </w:r>
      <w:r w:rsidR="00E81486">
        <w:rPr>
          <w:rFonts w:ascii="Arial" w:hAnsi="Arial"/>
          <w:sz w:val="20"/>
        </w:rPr>
        <w:t>(кр</w:t>
      </w:r>
      <w:r w:rsidR="00EA1B91">
        <w:rPr>
          <w:rFonts w:ascii="Arial" w:hAnsi="Arial"/>
          <w:sz w:val="20"/>
        </w:rPr>
        <w:t>аткотрајна профилакса) или да го намали бројот и  сериозноста</w:t>
      </w:r>
      <w:r w:rsidR="00E81486">
        <w:rPr>
          <w:rFonts w:ascii="Arial" w:hAnsi="Arial"/>
          <w:sz w:val="20"/>
        </w:rPr>
        <w:t xml:space="preserve"> на ангиоедемски</w:t>
      </w:r>
      <w:r w:rsidR="00EA1B91">
        <w:rPr>
          <w:rFonts w:ascii="Arial" w:hAnsi="Arial"/>
          <w:sz w:val="20"/>
        </w:rPr>
        <w:t>те</w:t>
      </w:r>
      <w:r w:rsidR="00E81486">
        <w:rPr>
          <w:rFonts w:ascii="Arial" w:hAnsi="Arial"/>
          <w:sz w:val="20"/>
        </w:rPr>
        <w:t xml:space="preserve"> напади (долготрајна профилакса). Лековите кои се употребуваат за профилакса при ХАЕ се прикажани на Табела II.</w:t>
      </w:r>
      <w:r w:rsidR="00E81486">
        <w:rPr>
          <w:rFonts w:ascii="Arial" w:hAnsi="Arial"/>
          <w:sz w:val="20"/>
          <w:vertAlign w:val="superscript"/>
        </w:rPr>
        <w:t>10,</w:t>
      </w:r>
      <w:r w:rsidR="00E81486">
        <w:rPr>
          <w:rFonts w:ascii="Arial" w:hAnsi="Arial"/>
          <w:sz w:val="20"/>
        </w:rPr>
        <w:t xml:space="preserve"> </w:t>
      </w:r>
      <w:r w:rsidR="00E81486">
        <w:rPr>
          <w:rStyle w:val="EndnoteReference"/>
          <w:rFonts w:ascii="Arial" w:hAnsi="Arial"/>
          <w:sz w:val="20"/>
        </w:rPr>
        <w:endnoteReference w:id="24"/>
      </w:r>
      <w:r w:rsidR="00E76D3B">
        <w:rPr>
          <w:rFonts w:ascii="Arial" w:hAnsi="Arial"/>
          <w:sz w:val="20"/>
        </w:rPr>
        <w:t xml:space="preserve"> </w:t>
      </w:r>
      <w:r w:rsidR="00E76D3B">
        <w:rPr>
          <w:rStyle w:val="EndnoteReference"/>
          <w:rFonts w:ascii="Arial" w:hAnsi="Arial"/>
          <w:sz w:val="20"/>
        </w:rPr>
        <w:endnoteReference w:id="25"/>
      </w:r>
      <w:r w:rsidR="00E76D3B">
        <w:rPr>
          <w:rFonts w:ascii="Arial" w:hAnsi="Arial"/>
          <w:sz w:val="20"/>
        </w:rPr>
        <w:t xml:space="preserve"> </w:t>
      </w:r>
      <w:r w:rsidR="00E76D3B">
        <w:rPr>
          <w:rStyle w:val="EndnoteReference"/>
          <w:rFonts w:ascii="Arial" w:hAnsi="Arial"/>
          <w:sz w:val="20"/>
        </w:rPr>
        <w:endnoteReference w:id="26"/>
      </w:r>
      <w:r w:rsidR="005C623E">
        <w:rPr>
          <w:rFonts w:ascii="Arial" w:hAnsi="Arial"/>
          <w:sz w:val="20"/>
        </w:rPr>
        <w:t xml:space="preserve"> </w:t>
      </w:r>
      <w:r w:rsidR="005C623E">
        <w:rPr>
          <w:rStyle w:val="EndnoteReference"/>
          <w:rFonts w:ascii="Arial" w:hAnsi="Arial"/>
          <w:sz w:val="20"/>
        </w:rPr>
        <w:endnoteReference w:id="27"/>
      </w:r>
      <w:r w:rsidR="00E81486">
        <w:rPr>
          <w:rFonts w:ascii="Arial" w:hAnsi="Arial"/>
          <w:sz w:val="20"/>
        </w:rPr>
        <w:t xml:space="preserve"> </w:t>
      </w:r>
      <w:r w:rsidR="005C623E">
        <w:rPr>
          <w:rStyle w:val="EndnoteReference"/>
          <w:rFonts w:ascii="Arial" w:hAnsi="Arial"/>
          <w:sz w:val="20"/>
        </w:rPr>
        <w:endnoteReference w:id="28"/>
      </w:r>
      <w:r w:rsidR="00726264">
        <w:rPr>
          <w:rFonts w:ascii="Arial" w:hAnsi="Arial"/>
          <w:sz w:val="20"/>
        </w:rPr>
        <w:t xml:space="preserve"> </w:t>
      </w:r>
      <w:r w:rsidR="005C623E">
        <w:rPr>
          <w:rFonts w:ascii="Arial" w:hAnsi="Arial"/>
          <w:sz w:val="20"/>
        </w:rPr>
        <w:t xml:space="preserve">Со оглед на тоа што постојат значителни разлики во начинот на администрација, профилите на негативни ефекти и цената на лековите што се користат за профилакса, при изборот на најсоодветна терапија треба да се земат предвид  желбите на пациентот. </w:t>
      </w:r>
      <w:r w:rsidR="000B3068">
        <w:rPr>
          <w:rFonts w:ascii="Arial" w:hAnsi="Arial"/>
          <w:sz w:val="20"/>
        </w:rPr>
        <w:t>Медицинскиот советодавен одбор на ХАЕА ги дава следните препораки во врска со профилактички</w:t>
      </w:r>
      <w:r w:rsidR="00735D49">
        <w:rPr>
          <w:rFonts w:ascii="Arial" w:hAnsi="Arial"/>
          <w:sz w:val="20"/>
        </w:rPr>
        <w:t>от</w:t>
      </w:r>
      <w:r w:rsidR="000B3068">
        <w:rPr>
          <w:rFonts w:ascii="Arial" w:hAnsi="Arial"/>
          <w:sz w:val="20"/>
        </w:rPr>
        <w:t xml:space="preserve"> третман. </w:t>
      </w:r>
    </w:p>
    <w:p w:rsidR="000B3068" w:rsidRPr="005C623E" w:rsidRDefault="000B3068" w:rsidP="00D5302E">
      <w:pPr>
        <w:spacing w:after="0"/>
        <w:jc w:val="both"/>
        <w:rPr>
          <w:rFonts w:ascii="Arial" w:hAnsi="Arial"/>
          <w:b/>
          <w:sz w:val="20"/>
        </w:rPr>
      </w:pPr>
    </w:p>
    <w:p w:rsidR="004653B2" w:rsidRDefault="004653B2" w:rsidP="004653B2">
      <w:pPr>
        <w:spacing w:after="0"/>
        <w:jc w:val="both"/>
        <w:rPr>
          <w:rFonts w:ascii="Arial" w:hAnsi="Arial"/>
          <w:sz w:val="20"/>
        </w:rPr>
      </w:pPr>
      <w:r>
        <w:rPr>
          <w:rFonts w:ascii="Arial" w:hAnsi="Arial"/>
          <w:sz w:val="20"/>
        </w:rPr>
        <w:t xml:space="preserve"> </w:t>
      </w:r>
      <w:r w:rsidR="000B3068">
        <w:rPr>
          <w:rFonts w:ascii="Arial" w:hAnsi="Arial"/>
          <w:i/>
          <w:sz w:val="20"/>
        </w:rPr>
        <w:t xml:space="preserve">3.1. Потреба од краткотрајна профилакса. </w:t>
      </w:r>
      <w:r w:rsidR="000B3068">
        <w:rPr>
          <w:rFonts w:ascii="Arial" w:hAnsi="Arial"/>
          <w:sz w:val="20"/>
        </w:rPr>
        <w:t>Стрес</w:t>
      </w:r>
      <w:r w:rsidR="00735D49">
        <w:rPr>
          <w:rFonts w:ascii="Arial" w:hAnsi="Arial"/>
          <w:sz w:val="20"/>
        </w:rPr>
        <w:t>от</w:t>
      </w:r>
      <w:r w:rsidR="000B3068">
        <w:rPr>
          <w:rFonts w:ascii="Arial" w:hAnsi="Arial"/>
          <w:sz w:val="20"/>
        </w:rPr>
        <w:t xml:space="preserve"> и траума</w:t>
      </w:r>
      <w:r w:rsidR="00735D49">
        <w:rPr>
          <w:rFonts w:ascii="Arial" w:hAnsi="Arial"/>
          <w:sz w:val="20"/>
        </w:rPr>
        <w:t xml:space="preserve">та се добро </w:t>
      </w:r>
      <w:r w:rsidR="000B3068">
        <w:rPr>
          <w:rFonts w:ascii="Arial" w:hAnsi="Arial"/>
          <w:sz w:val="20"/>
        </w:rPr>
        <w:t>познати провокатори на ангиоедемските напади.</w:t>
      </w:r>
      <w:r w:rsidR="000B3068">
        <w:rPr>
          <w:rFonts w:ascii="Arial" w:hAnsi="Arial"/>
          <w:sz w:val="20"/>
          <w:vertAlign w:val="superscript"/>
        </w:rPr>
        <w:t>7</w:t>
      </w:r>
      <w:r w:rsidR="000B3068">
        <w:rPr>
          <w:rFonts w:ascii="Arial" w:hAnsi="Arial"/>
          <w:sz w:val="20"/>
        </w:rPr>
        <w:t xml:space="preserve"> Стоматолошките зафати особено се поврзуваат со оток во оралната шуплина, што може да се развие и да предизвика опструкција на дишните патишта. Краткотрајната профилакса може да биде индицирана пред медицински, хируршки или стоматолошки зафати; меѓутоа, релативно малку се знае за ризикот од оток по овие процедури. При една голема ретроспективна студија се утврди дека ризикот од оток по вадење заб е 19,9%. Ризикот од оток </w:t>
      </w:r>
      <w:r w:rsidR="0018448B">
        <w:rPr>
          <w:rFonts w:ascii="Arial" w:hAnsi="Arial"/>
          <w:sz w:val="20"/>
        </w:rPr>
        <w:t>беш</w:t>
      </w:r>
      <w:r w:rsidR="000B3068">
        <w:rPr>
          <w:rFonts w:ascii="Arial" w:hAnsi="Arial"/>
          <w:sz w:val="20"/>
        </w:rPr>
        <w:t>е 21.5% кај пациентите кои не добиле никаква профилакса и падна на 16% и 7.5% кај пациентите кои добиле 500 или 1000 единици од C1INH 1 час пред вадењето заб.</w:t>
      </w:r>
      <w:r w:rsidR="00B94065">
        <w:rPr>
          <w:rStyle w:val="EndnoteReference"/>
          <w:rFonts w:ascii="Arial" w:hAnsi="Arial"/>
          <w:sz w:val="20"/>
        </w:rPr>
        <w:endnoteReference w:id="29"/>
      </w:r>
      <w:r w:rsidR="0018448B">
        <w:rPr>
          <w:rFonts w:ascii="Arial" w:hAnsi="Arial"/>
          <w:sz w:val="20"/>
        </w:rPr>
        <w:t xml:space="preserve"> Степенот на локалната траума може да влијае врз одлуката за тоа дали пациентот да се третира профилактички. </w:t>
      </w:r>
      <w:proofErr w:type="gramStart"/>
      <w:r w:rsidR="00A73953">
        <w:rPr>
          <w:rFonts w:ascii="Arial" w:hAnsi="Arial"/>
          <w:sz w:val="20"/>
        </w:rPr>
        <w:t>C1INH што се дава за краткотрајна профилакса треба да се администрира 1-12 часа пред стресната ситуација.</w:t>
      </w:r>
      <w:proofErr w:type="gramEnd"/>
      <w:r w:rsidR="00A73953">
        <w:rPr>
          <w:rFonts w:ascii="Arial" w:hAnsi="Arial"/>
          <w:sz w:val="20"/>
        </w:rPr>
        <w:t xml:space="preserve"> Анаболитичките андрогени што се користат за краткотрајна профилакса треба </w:t>
      </w:r>
      <w:r w:rsidR="00A73953">
        <w:rPr>
          <w:rFonts w:ascii="Arial" w:hAnsi="Arial"/>
          <w:sz w:val="20"/>
        </w:rPr>
        <w:lastRenderedPageBreak/>
        <w:t xml:space="preserve">да се започнат 7-10 дена пред стресната ситуација. Од клучна важност е </w:t>
      </w:r>
      <w:r w:rsidR="00735D49">
        <w:rPr>
          <w:rFonts w:ascii="Arial" w:hAnsi="Arial"/>
          <w:sz w:val="20"/>
        </w:rPr>
        <w:t xml:space="preserve">достапност до </w:t>
      </w:r>
      <w:r w:rsidR="00A73953">
        <w:rPr>
          <w:rFonts w:ascii="Arial" w:hAnsi="Arial"/>
          <w:sz w:val="20"/>
        </w:rPr>
        <w:t xml:space="preserve">ефективна </w:t>
      </w:r>
      <w:r w:rsidR="00A73953" w:rsidRPr="00735D49">
        <w:rPr>
          <w:rFonts w:ascii="Arial" w:hAnsi="Arial"/>
          <w:i/>
          <w:sz w:val="20"/>
        </w:rPr>
        <w:t>терапија според потреба</w:t>
      </w:r>
      <w:r w:rsidR="00735D49">
        <w:rPr>
          <w:rFonts w:ascii="Arial" w:hAnsi="Arial"/>
          <w:sz w:val="20"/>
        </w:rPr>
        <w:t>,</w:t>
      </w:r>
      <w:r w:rsidR="00A73953">
        <w:rPr>
          <w:rFonts w:ascii="Arial" w:hAnsi="Arial"/>
          <w:sz w:val="20"/>
        </w:rPr>
        <w:t xml:space="preserve"> без оглед на тоа дали ќе се даде или нема да се даде краткотрајна профилакса.</w:t>
      </w:r>
    </w:p>
    <w:p w:rsidR="00A73953" w:rsidRDefault="00A73953" w:rsidP="004653B2">
      <w:pPr>
        <w:spacing w:after="0"/>
        <w:jc w:val="both"/>
        <w:rPr>
          <w:rFonts w:ascii="Arial" w:hAnsi="Arial"/>
          <w:sz w:val="20"/>
        </w:rPr>
      </w:pPr>
    </w:p>
    <w:p w:rsidR="00AA4EE2" w:rsidRDefault="00A73953" w:rsidP="004653B2">
      <w:pPr>
        <w:spacing w:after="0"/>
        <w:jc w:val="both"/>
        <w:rPr>
          <w:rFonts w:ascii="Arial" w:hAnsi="Arial"/>
          <w:sz w:val="20"/>
        </w:rPr>
      </w:pPr>
      <w:r w:rsidRPr="00A73953">
        <w:rPr>
          <w:rFonts w:ascii="Arial" w:hAnsi="Arial"/>
          <w:i/>
          <w:sz w:val="20"/>
        </w:rPr>
        <w:t>3.2. Потреба од долготрајна профилакса</w:t>
      </w:r>
      <w:r>
        <w:rPr>
          <w:rFonts w:ascii="Arial" w:hAnsi="Arial"/>
          <w:i/>
          <w:sz w:val="20"/>
        </w:rPr>
        <w:t xml:space="preserve">. </w:t>
      </w:r>
      <w:r>
        <w:rPr>
          <w:rFonts w:ascii="Arial" w:hAnsi="Arial"/>
          <w:sz w:val="20"/>
        </w:rPr>
        <w:t>Одлуката за тоа кога да се користи долготраен профилактички третман не може да се донесе врз основа на строги критериуми, но треба да ги одразува потребите на секој пациент посебно. При донесувањето одлуки околу тоа кои пациенти треба да се разгледаат за долготрајна профилакса треба да се земе предвид зачестеноста на нападите, сериозноста на нападите, коморбидни состојби, пристап до ургентен третман и искуството и желбите на пациентите. Со оглед на тоа што со текот на времето може да се смени сериозноста на болеста, треба периодично да се разгледува потребата да се започне или продолжи долготрајна профилакса и</w:t>
      </w:r>
      <w:r w:rsidR="00FA4F87">
        <w:rPr>
          <w:rFonts w:ascii="Arial" w:hAnsi="Arial"/>
          <w:sz w:val="20"/>
        </w:rPr>
        <w:t xml:space="preserve"> истата</w:t>
      </w:r>
      <w:r>
        <w:rPr>
          <w:rFonts w:ascii="Arial" w:hAnsi="Arial"/>
          <w:sz w:val="20"/>
        </w:rPr>
        <w:t xml:space="preserve"> да се дискутира со пациентот. </w:t>
      </w:r>
    </w:p>
    <w:p w:rsidR="00AA4EE2" w:rsidRDefault="00AA4EE2" w:rsidP="004653B2">
      <w:pPr>
        <w:spacing w:after="0"/>
        <w:jc w:val="both"/>
        <w:rPr>
          <w:rFonts w:ascii="Arial" w:hAnsi="Arial"/>
          <w:sz w:val="20"/>
        </w:rPr>
      </w:pPr>
    </w:p>
    <w:p w:rsidR="0094088E" w:rsidRDefault="00AA4EE2" w:rsidP="004653B2">
      <w:pPr>
        <w:spacing w:after="0"/>
        <w:jc w:val="both"/>
        <w:rPr>
          <w:rFonts w:ascii="Arial" w:hAnsi="Arial"/>
          <w:i/>
          <w:sz w:val="20"/>
        </w:rPr>
      </w:pPr>
      <w:r w:rsidRPr="00AA4EE2">
        <w:rPr>
          <w:rFonts w:ascii="Arial" w:hAnsi="Arial"/>
          <w:i/>
          <w:sz w:val="20"/>
        </w:rPr>
        <w:t>3.3 Дозирање</w:t>
      </w:r>
      <w:r>
        <w:rPr>
          <w:rFonts w:ascii="Arial" w:hAnsi="Arial"/>
          <w:i/>
          <w:sz w:val="20"/>
        </w:rPr>
        <w:t>.</w:t>
      </w:r>
      <w:r>
        <w:rPr>
          <w:rFonts w:ascii="Arial" w:hAnsi="Arial"/>
          <w:sz w:val="20"/>
        </w:rPr>
        <w:t xml:space="preserve"> Неможно е </w:t>
      </w:r>
      <w:r>
        <w:rPr>
          <w:rFonts w:ascii="Arial" w:hAnsi="Arial"/>
          <w:i/>
          <w:sz w:val="20"/>
        </w:rPr>
        <w:t>a priori</w:t>
      </w:r>
      <w:r>
        <w:rPr>
          <w:rFonts w:ascii="Arial" w:hAnsi="Arial"/>
          <w:sz w:val="20"/>
        </w:rPr>
        <w:t xml:space="preserve"> да се предвиди оптималната доза на лек за долготрајна профилакса. Понатаму, оптималната доза не се предвидува од нивоата на C4 или C1INH, но мора клинички да се одреди. Лековите за профилакса треба да се дозираат до најниската ефективна доза што ја контролира актив</w:t>
      </w:r>
      <w:r w:rsidR="00FA4F87">
        <w:rPr>
          <w:rFonts w:ascii="Arial" w:hAnsi="Arial"/>
          <w:sz w:val="20"/>
        </w:rPr>
        <w:t>носта на болеста и го задржува</w:t>
      </w:r>
      <w:r>
        <w:rPr>
          <w:rFonts w:ascii="Arial" w:hAnsi="Arial"/>
          <w:sz w:val="20"/>
        </w:rPr>
        <w:t xml:space="preserve"> нормалниот квалитет на живот. </w:t>
      </w:r>
    </w:p>
    <w:p w:rsidR="0094088E" w:rsidRDefault="0094088E" w:rsidP="004653B2">
      <w:pPr>
        <w:spacing w:after="0"/>
        <w:jc w:val="both"/>
        <w:rPr>
          <w:rFonts w:ascii="Arial" w:hAnsi="Arial"/>
          <w:i/>
          <w:sz w:val="20"/>
        </w:rPr>
      </w:pPr>
    </w:p>
    <w:p w:rsidR="0094088E" w:rsidRDefault="0094088E" w:rsidP="004653B2">
      <w:pPr>
        <w:spacing w:after="0"/>
        <w:jc w:val="both"/>
        <w:rPr>
          <w:rFonts w:ascii="Arial" w:hAnsi="Arial"/>
          <w:sz w:val="20"/>
        </w:rPr>
      </w:pPr>
      <w:r w:rsidRPr="0094088E">
        <w:rPr>
          <w:rFonts w:ascii="Arial" w:hAnsi="Arial"/>
          <w:b/>
          <w:i/>
          <w:sz w:val="20"/>
        </w:rPr>
        <w:t>3.4. Посебно внимание при употребата на андрогени.</w:t>
      </w:r>
      <w:r>
        <w:rPr>
          <w:rFonts w:ascii="Arial" w:hAnsi="Arial"/>
          <w:b/>
          <w:sz w:val="20"/>
        </w:rPr>
        <w:t xml:space="preserve"> </w:t>
      </w:r>
      <w:r w:rsidR="00FA4F87">
        <w:rPr>
          <w:rFonts w:ascii="Arial" w:hAnsi="Arial"/>
          <w:sz w:val="20"/>
        </w:rPr>
        <w:t>Иако анаболичн</w:t>
      </w:r>
      <w:r w:rsidRPr="0094088E">
        <w:rPr>
          <w:rFonts w:ascii="Arial" w:hAnsi="Arial"/>
          <w:sz w:val="20"/>
        </w:rPr>
        <w:t xml:space="preserve">ите андрогени </w:t>
      </w:r>
      <w:r>
        <w:rPr>
          <w:rFonts w:ascii="Arial" w:hAnsi="Arial"/>
          <w:sz w:val="20"/>
        </w:rPr>
        <w:t>(17-</w:t>
      </w:r>
      <w:r>
        <w:rPr>
          <w:rFonts w:ascii="Cambria Math" w:hAnsi="Cambria Math"/>
          <w:sz w:val="20"/>
        </w:rPr>
        <w:t>⍺</w:t>
      </w:r>
      <w:r>
        <w:rPr>
          <w:rFonts w:ascii="Arial" w:hAnsi="Arial"/>
          <w:sz w:val="20"/>
        </w:rPr>
        <w:t>-алкалирани андрогени)</w:t>
      </w:r>
      <w:r w:rsidR="00FE6F42">
        <w:rPr>
          <w:rFonts w:ascii="Arial" w:hAnsi="Arial"/>
          <w:sz w:val="20"/>
        </w:rPr>
        <w:t xml:space="preserve"> многу години успешно се користат за профилакса, може да предизвикаат негативни ефекти поврзани со дозата кои може да се мошне сериозни. Важно е да се избегне употребата на анаболични андрогени за долготрајна профилакса кај пациенти под 16 години или кај бремени жени или доилки. Употребата на анаболични</w:t>
      </w:r>
      <w:r w:rsidR="00FA4F87">
        <w:rPr>
          <w:rFonts w:ascii="Arial" w:hAnsi="Arial"/>
          <w:sz w:val="20"/>
        </w:rPr>
        <w:t>те</w:t>
      </w:r>
      <w:r w:rsidR="00FE6F42">
        <w:rPr>
          <w:rFonts w:ascii="Arial" w:hAnsi="Arial"/>
          <w:sz w:val="20"/>
        </w:rPr>
        <w:t xml:space="preserve"> андрогени треба исто така да се избегнува кога пациентот не ги толерира или кај пациенти кои имаат негативни ефекти поврзани со лекот.</w:t>
      </w:r>
      <w:r w:rsidR="00F6450B">
        <w:rPr>
          <w:rFonts w:ascii="Arial" w:hAnsi="Arial"/>
          <w:sz w:val="20"/>
        </w:rPr>
        <w:t xml:space="preserve"> Сите пациенти кои </w:t>
      </w:r>
      <w:r w:rsidR="00F6450B">
        <w:rPr>
          <w:rFonts w:ascii="Arial" w:hAnsi="Arial"/>
          <w:sz w:val="20"/>
        </w:rPr>
        <w:lastRenderedPageBreak/>
        <w:t>примаат атенуирани андрогени треба внимателно да се следат поради потенцијални негативни ефекти што се поврзани со лекот.</w:t>
      </w:r>
      <w:r w:rsidR="00FE6F42">
        <w:rPr>
          <w:rFonts w:ascii="Arial" w:hAnsi="Arial"/>
          <w:sz w:val="20"/>
        </w:rPr>
        <w:t xml:space="preserve"> Ставот на Медицинскиот советодавен одбор на ХАЕА </w:t>
      </w:r>
      <w:r w:rsidR="00E76CF8">
        <w:rPr>
          <w:rFonts w:ascii="Arial" w:hAnsi="Arial"/>
          <w:sz w:val="20"/>
        </w:rPr>
        <w:t xml:space="preserve">е </w:t>
      </w:r>
      <w:r w:rsidR="00FE6F42">
        <w:rPr>
          <w:rFonts w:ascii="Arial" w:hAnsi="Arial"/>
          <w:sz w:val="20"/>
        </w:rPr>
        <w:t>дека овие лекови не треба да се користат кај пациенти кои претпочитаат друга терапија</w:t>
      </w:r>
      <w:r w:rsidR="00E76CF8">
        <w:rPr>
          <w:rFonts w:ascii="Arial" w:hAnsi="Arial"/>
          <w:sz w:val="20"/>
        </w:rPr>
        <w:t xml:space="preserve">, а неуспехот на андрогената терапија да не се користи како предуслов за употреба на профилактички C1INH концентрат. </w:t>
      </w:r>
    </w:p>
    <w:p w:rsidR="00E76CF8" w:rsidRDefault="00E76CF8" w:rsidP="004653B2">
      <w:pPr>
        <w:spacing w:after="0"/>
        <w:jc w:val="both"/>
        <w:rPr>
          <w:rFonts w:ascii="Arial" w:hAnsi="Arial"/>
          <w:sz w:val="20"/>
        </w:rPr>
      </w:pPr>
    </w:p>
    <w:p w:rsidR="00E76CF8" w:rsidRDefault="00E76CF8" w:rsidP="004653B2">
      <w:pPr>
        <w:spacing w:after="0"/>
        <w:jc w:val="both"/>
        <w:rPr>
          <w:rFonts w:ascii="Arial" w:hAnsi="Arial"/>
          <w:sz w:val="20"/>
        </w:rPr>
      </w:pPr>
      <w:r>
        <w:rPr>
          <w:rFonts w:ascii="Arial" w:hAnsi="Arial"/>
          <w:i/>
          <w:sz w:val="20"/>
        </w:rPr>
        <w:t xml:space="preserve">3.5 </w:t>
      </w:r>
      <w:r w:rsidR="00584D04">
        <w:rPr>
          <w:rFonts w:ascii="Arial" w:hAnsi="Arial"/>
          <w:i/>
          <w:sz w:val="20"/>
        </w:rPr>
        <w:t>На што да се внимава при употреба</w:t>
      </w:r>
      <w:r>
        <w:rPr>
          <w:rFonts w:ascii="Arial" w:hAnsi="Arial"/>
          <w:i/>
          <w:sz w:val="20"/>
        </w:rPr>
        <w:t xml:space="preserve"> на концентратите на C1INH.</w:t>
      </w:r>
      <w:r>
        <w:rPr>
          <w:rFonts w:ascii="Arial" w:hAnsi="Arial"/>
          <w:sz w:val="20"/>
        </w:rPr>
        <w:t xml:space="preserve"> Се покажа дека </w:t>
      </w:r>
      <w:r>
        <w:rPr>
          <w:rFonts w:ascii="Arial" w:hAnsi="Arial"/>
          <w:i/>
          <w:sz w:val="20"/>
        </w:rPr>
        <w:t xml:space="preserve"> </w:t>
      </w:r>
      <w:r>
        <w:rPr>
          <w:rFonts w:ascii="Arial" w:hAnsi="Arial"/>
          <w:sz w:val="20"/>
        </w:rPr>
        <w:t>концентратот на C1INH</w:t>
      </w:r>
      <w:r w:rsidR="00F6450B">
        <w:rPr>
          <w:rFonts w:ascii="Arial" w:hAnsi="Arial"/>
          <w:sz w:val="20"/>
        </w:rPr>
        <w:t xml:space="preserve"> што се добива од плазма</w:t>
      </w:r>
      <w:r>
        <w:rPr>
          <w:rFonts w:ascii="Arial" w:hAnsi="Arial"/>
          <w:sz w:val="20"/>
        </w:rPr>
        <w:t xml:space="preserve"> е безбеден и ефикасен за профилактички третман на ХАЕ; меѓутоа</w:t>
      </w:r>
      <w:r w:rsidR="00E11360">
        <w:rPr>
          <w:rFonts w:ascii="Arial" w:hAnsi="Arial"/>
          <w:sz w:val="20"/>
        </w:rPr>
        <w:t xml:space="preserve">, постојана интравенска администрација може да резултира  во губење на достапните вени, освен ако не се води голема грижа за да се зачуваат истите. Во некои случаи се поставија </w:t>
      </w:r>
      <w:r w:rsidR="00F670C2">
        <w:rPr>
          <w:rFonts w:ascii="Arial" w:hAnsi="Arial"/>
          <w:sz w:val="20"/>
        </w:rPr>
        <w:t xml:space="preserve">портови за да се овозможи полесен интравенозен пристап. </w:t>
      </w:r>
    </w:p>
    <w:p w:rsidR="00F670C2" w:rsidRDefault="00F670C2" w:rsidP="004653B2">
      <w:pPr>
        <w:spacing w:after="0"/>
        <w:jc w:val="both"/>
        <w:rPr>
          <w:rFonts w:ascii="Arial" w:hAnsi="Arial"/>
          <w:sz w:val="20"/>
        </w:rPr>
      </w:pPr>
      <w:r>
        <w:rPr>
          <w:rFonts w:ascii="Arial" w:hAnsi="Arial"/>
          <w:sz w:val="20"/>
        </w:rPr>
        <w:t>Сепак, таквите портови претставуваат сериозен ризик од тромбоза и инфекција.</w:t>
      </w:r>
      <w:r>
        <w:rPr>
          <w:rStyle w:val="EndnoteReference"/>
          <w:rFonts w:ascii="Arial" w:hAnsi="Arial"/>
          <w:sz w:val="20"/>
        </w:rPr>
        <w:endnoteReference w:id="30"/>
      </w:r>
      <w:r w:rsidR="00C35DEF">
        <w:rPr>
          <w:rFonts w:ascii="Arial" w:hAnsi="Arial"/>
          <w:sz w:val="20"/>
        </w:rPr>
        <w:t xml:space="preserve"> Иако, со внимателна техника на изведување може да се намалат ризиците, сепак </w:t>
      </w:r>
      <w:r w:rsidR="00584D04">
        <w:rPr>
          <w:rFonts w:ascii="Arial" w:hAnsi="Arial"/>
          <w:sz w:val="20"/>
        </w:rPr>
        <w:t xml:space="preserve">истите </w:t>
      </w:r>
      <w:r w:rsidR="00C35DEF">
        <w:rPr>
          <w:rFonts w:ascii="Arial" w:hAnsi="Arial"/>
          <w:sz w:val="20"/>
        </w:rPr>
        <w:t xml:space="preserve">не може целосно да се елиминираат. Поради овие причини, МСО на ХАЕА на САД не ја охрабрува употребата на вакви портови освен ако не е неопходно од медицинска гледна точка и понатаму препорачува пациентите на кои им е потребна интравенозна администрација да </w:t>
      </w:r>
      <w:r w:rsidR="0069388D">
        <w:rPr>
          <w:rFonts w:ascii="Arial" w:hAnsi="Arial"/>
          <w:sz w:val="20"/>
        </w:rPr>
        <w:t xml:space="preserve">водат голема грижа за заштита на нивните вени со употреба на „пеперутка“ игли и да внимаваат на техниката, да ја повлекуваат иглата без притисок и по инфузијата лесно да го притиснат местото </w:t>
      </w:r>
      <w:r w:rsidR="00F6450B">
        <w:rPr>
          <w:rFonts w:ascii="Arial" w:hAnsi="Arial"/>
          <w:sz w:val="20"/>
        </w:rPr>
        <w:t>на убод 5 минути и да не ја виткаат раката кај лактот доколку се користела цефалната вена</w:t>
      </w:r>
      <w:r w:rsidR="00584D04">
        <w:rPr>
          <w:rFonts w:ascii="Arial" w:hAnsi="Arial"/>
          <w:sz w:val="20"/>
        </w:rPr>
        <w:t xml:space="preserve">. Вените </w:t>
      </w:r>
      <w:r w:rsidR="0069388D">
        <w:rPr>
          <w:rFonts w:ascii="Arial" w:hAnsi="Arial"/>
          <w:sz w:val="20"/>
        </w:rPr>
        <w:t xml:space="preserve">што се воспалени не треба да се користат се додека не се реши флебитисот. </w:t>
      </w:r>
      <w:r w:rsidR="00584D04">
        <w:rPr>
          <w:rFonts w:ascii="Arial" w:hAnsi="Arial"/>
          <w:sz w:val="20"/>
        </w:rPr>
        <w:t>Со зголемување на силата на стисокот на раката може да се добијат подобри и поголеми вени.</w:t>
      </w:r>
    </w:p>
    <w:p w:rsidR="00584D04" w:rsidRDefault="00584D04" w:rsidP="004653B2">
      <w:pPr>
        <w:spacing w:after="0"/>
        <w:jc w:val="both"/>
        <w:rPr>
          <w:rFonts w:ascii="Arial" w:hAnsi="Arial"/>
          <w:sz w:val="20"/>
        </w:rPr>
      </w:pPr>
    </w:p>
    <w:p w:rsidR="00584D04" w:rsidRDefault="00584D04" w:rsidP="004653B2">
      <w:pPr>
        <w:spacing w:after="0"/>
        <w:jc w:val="both"/>
        <w:rPr>
          <w:rFonts w:ascii="Arial" w:hAnsi="Arial"/>
          <w:sz w:val="20"/>
        </w:rPr>
      </w:pPr>
      <w:r>
        <w:rPr>
          <w:rFonts w:ascii="Arial" w:hAnsi="Arial"/>
          <w:i/>
          <w:sz w:val="20"/>
        </w:rPr>
        <w:t xml:space="preserve">3.6. Третман според потреба. </w:t>
      </w:r>
      <w:r>
        <w:rPr>
          <w:rFonts w:ascii="Arial" w:hAnsi="Arial"/>
          <w:sz w:val="20"/>
        </w:rPr>
        <w:t xml:space="preserve">Пациентите кои се на профилактички третман мора исто така да имаат пристап до ефективен </w:t>
      </w:r>
      <w:r w:rsidR="001F4237" w:rsidRPr="00F6450B">
        <w:rPr>
          <w:rFonts w:ascii="Arial" w:hAnsi="Arial"/>
          <w:i/>
          <w:sz w:val="20"/>
        </w:rPr>
        <w:lastRenderedPageBreak/>
        <w:t>третман според потреб</w:t>
      </w:r>
      <w:r w:rsidR="00F6450B">
        <w:rPr>
          <w:rFonts w:ascii="Arial" w:hAnsi="Arial"/>
          <w:i/>
          <w:sz w:val="20"/>
        </w:rPr>
        <w:t>а</w:t>
      </w:r>
      <w:r w:rsidR="001F4237">
        <w:rPr>
          <w:rFonts w:ascii="Arial" w:hAnsi="Arial"/>
          <w:sz w:val="20"/>
        </w:rPr>
        <w:t xml:space="preserve"> за третирање на акутните напади.</w:t>
      </w:r>
    </w:p>
    <w:p w:rsidR="001F4237" w:rsidRDefault="001F4237" w:rsidP="004653B2">
      <w:pPr>
        <w:spacing w:after="0"/>
        <w:jc w:val="both"/>
        <w:rPr>
          <w:rFonts w:ascii="Arial" w:hAnsi="Arial"/>
          <w:sz w:val="20"/>
        </w:rPr>
      </w:pPr>
    </w:p>
    <w:p w:rsidR="001F4237" w:rsidRDefault="001F4237" w:rsidP="004653B2">
      <w:pPr>
        <w:spacing w:after="0"/>
        <w:jc w:val="both"/>
        <w:rPr>
          <w:rFonts w:ascii="Arial" w:hAnsi="Arial"/>
          <w:sz w:val="20"/>
        </w:rPr>
      </w:pPr>
      <w:r>
        <w:rPr>
          <w:rFonts w:ascii="Arial" w:hAnsi="Arial"/>
          <w:b/>
          <w:sz w:val="20"/>
        </w:rPr>
        <w:t xml:space="preserve">Дел 4. Следење пациенти. </w:t>
      </w:r>
      <w:r>
        <w:rPr>
          <w:rFonts w:ascii="Arial" w:hAnsi="Arial"/>
          <w:sz w:val="20"/>
        </w:rPr>
        <w:t>Сериозно</w:t>
      </w:r>
      <w:r w:rsidR="00F6450B">
        <w:rPr>
          <w:rFonts w:ascii="Arial" w:hAnsi="Arial"/>
          <w:sz w:val="20"/>
        </w:rPr>
        <w:t>ста на ХАЕ е мошне варијабилна како меѓу пациентите, така</w:t>
      </w:r>
      <w:r>
        <w:rPr>
          <w:rFonts w:ascii="Arial" w:hAnsi="Arial"/>
          <w:sz w:val="20"/>
        </w:rPr>
        <w:t xml:space="preserve"> по некое време и кај самиот пациент.</w:t>
      </w:r>
      <w:r>
        <w:rPr>
          <w:rFonts w:ascii="Arial" w:hAnsi="Arial"/>
          <w:sz w:val="20"/>
          <w:vertAlign w:val="superscript"/>
        </w:rPr>
        <w:t xml:space="preserve">3, </w:t>
      </w:r>
      <w:r>
        <w:rPr>
          <w:rStyle w:val="EndnoteReference"/>
          <w:rFonts w:ascii="Arial" w:hAnsi="Arial"/>
          <w:sz w:val="20"/>
        </w:rPr>
        <w:endnoteReference w:id="31"/>
      </w:r>
      <w:r w:rsidR="00F6450B">
        <w:rPr>
          <w:rFonts w:ascii="Arial" w:hAnsi="Arial"/>
          <w:sz w:val="20"/>
          <w:vertAlign w:val="superscript"/>
        </w:rPr>
        <w:t xml:space="preserve"> </w:t>
      </w:r>
      <w:r>
        <w:rPr>
          <w:rFonts w:ascii="Arial" w:hAnsi="Arial"/>
          <w:sz w:val="20"/>
        </w:rPr>
        <w:t xml:space="preserve">Пациентите може да се без симптоми со години, а во еден момент да почнат да добиваат напади. </w:t>
      </w:r>
      <w:r w:rsidR="00F6450B">
        <w:rPr>
          <w:rFonts w:ascii="Arial" w:hAnsi="Arial"/>
          <w:sz w:val="20"/>
        </w:rPr>
        <w:t>Обратно, достапноста до</w:t>
      </w:r>
      <w:r w:rsidR="003623AF">
        <w:rPr>
          <w:rFonts w:ascii="Arial" w:hAnsi="Arial"/>
          <w:sz w:val="20"/>
        </w:rPr>
        <w:t xml:space="preserve"> ефективни опции за третман или други намалувачи на стрес може да ја намалат анксиозноста и зачестеноста на нападот. Како дополнение на тоа, некои од лековите што се користат за третирање на ХАЕ може да имаат негативни ефекти врз пациентот. Од овие причини, МСО на ХАЕА препорачува докторите кои ги тре</w:t>
      </w:r>
      <w:r w:rsidR="00F6450B">
        <w:rPr>
          <w:rFonts w:ascii="Arial" w:hAnsi="Arial"/>
          <w:sz w:val="20"/>
        </w:rPr>
        <w:t>тираат пациентите со ХАЕ</w:t>
      </w:r>
      <w:r w:rsidR="003623AF">
        <w:rPr>
          <w:rFonts w:ascii="Arial" w:hAnsi="Arial"/>
          <w:sz w:val="20"/>
        </w:rPr>
        <w:t xml:space="preserve"> внимателно и редовно да ги следат своите пациенти и да ги дадат следните препораки (резимирано во Табела III).</w:t>
      </w:r>
    </w:p>
    <w:p w:rsidR="003623AF" w:rsidRDefault="003623AF" w:rsidP="004653B2">
      <w:pPr>
        <w:spacing w:after="0"/>
        <w:jc w:val="both"/>
        <w:rPr>
          <w:rFonts w:ascii="Arial" w:hAnsi="Arial"/>
          <w:sz w:val="20"/>
        </w:rPr>
      </w:pPr>
    </w:p>
    <w:p w:rsidR="008027D6" w:rsidRDefault="003623AF" w:rsidP="004653B2">
      <w:pPr>
        <w:spacing w:after="0"/>
        <w:jc w:val="both"/>
        <w:rPr>
          <w:rFonts w:ascii="Arial" w:hAnsi="Arial"/>
          <w:sz w:val="20"/>
        </w:rPr>
      </w:pPr>
      <w:r>
        <w:rPr>
          <w:rFonts w:ascii="Arial" w:hAnsi="Arial"/>
          <w:i/>
          <w:sz w:val="20"/>
        </w:rPr>
        <w:t>4.1. Следење на зачестеноста и сериозноста на нападите.</w:t>
      </w:r>
      <w:r>
        <w:rPr>
          <w:rFonts w:ascii="Arial" w:hAnsi="Arial"/>
          <w:sz w:val="20"/>
        </w:rPr>
        <w:t xml:space="preserve"> Зачестеноста и сериозноста на нападот треба тековно да се проценува од страна на доктор. МСО на ХАЕА на САД препорачува пациентите да ги регистрираат сите напади, без оглед на нивната сериозност (слаб, умерен или сериозен). Тие записи или евиденција на напади треба да се зачуваат во одреден формат (на пр. електронски или на хартија) за што одлука донесуваат пациентот и докторот и форматот треба да му е лесен на пациентот за пополнување. Без оглед на форматот, тие записи треба специфично да ги идентификуваат следните 3 сфери: опис на нападот, третман на нападот и реакција на третманот. Специфичните клучни точки кои треба да се однесуваат на тие 3 домени се илустрирани на Табела IV</w:t>
      </w:r>
      <w:r w:rsidR="009F3C28">
        <w:rPr>
          <w:rFonts w:ascii="Arial" w:hAnsi="Arial"/>
          <w:sz w:val="20"/>
        </w:rPr>
        <w:t>. Постојат неколку причини зошто информирањето на докторот за зачестено</w:t>
      </w:r>
      <w:r w:rsidR="00F6450B">
        <w:rPr>
          <w:rFonts w:ascii="Arial" w:hAnsi="Arial"/>
          <w:sz w:val="20"/>
        </w:rPr>
        <w:t>ста и сериозноста на ХАЕ нападите кај</w:t>
      </w:r>
      <w:r w:rsidR="009F3C28">
        <w:rPr>
          <w:rFonts w:ascii="Arial" w:hAnsi="Arial"/>
          <w:sz w:val="20"/>
        </w:rPr>
        <w:t xml:space="preserve"> пациентот е од клучна важност за тековното управување со ХАЕ. Една причина е што ќе му се овозможи на докторот да ја следи употребата на терапии коишто се дав</w:t>
      </w:r>
      <w:r w:rsidR="00F6450B">
        <w:rPr>
          <w:rFonts w:ascii="Arial" w:hAnsi="Arial"/>
          <w:sz w:val="20"/>
        </w:rPr>
        <w:t xml:space="preserve">аат по потреба и по можност да </w:t>
      </w:r>
      <w:r w:rsidR="009F3C28">
        <w:rPr>
          <w:rFonts w:ascii="Arial" w:hAnsi="Arial"/>
          <w:sz w:val="20"/>
        </w:rPr>
        <w:t xml:space="preserve"> предложи профилактички режим за </w:t>
      </w:r>
    </w:p>
    <w:p w:rsidR="008027D6" w:rsidRDefault="008027D6" w:rsidP="008027D6">
      <w:pPr>
        <w:rPr>
          <w:rFonts w:ascii="Arial" w:hAnsi="Arial"/>
          <w:b/>
          <w:sz w:val="18"/>
        </w:rPr>
        <w:sectPr w:rsidR="008027D6" w:rsidSect="008027D6">
          <w:endnotePr>
            <w:numFmt w:val="decimal"/>
          </w:endnotePr>
          <w:type w:val="continuous"/>
          <w:pgSz w:w="12240" w:h="15840"/>
          <w:pgMar w:top="1440" w:right="1440" w:bottom="1440" w:left="1440" w:header="720" w:footer="720" w:gutter="0"/>
          <w:cols w:num="2" w:space="720"/>
          <w:docGrid w:linePitch="360"/>
        </w:sectPr>
      </w:pPr>
    </w:p>
    <w:p w:rsidR="008027D6" w:rsidRPr="008027D6" w:rsidRDefault="008027D6" w:rsidP="008027D6">
      <w:pPr>
        <w:rPr>
          <w:rFonts w:ascii="Arial" w:hAnsi="Arial"/>
          <w:b/>
          <w:sz w:val="18"/>
        </w:rPr>
      </w:pPr>
      <w:r w:rsidRPr="008027D6">
        <w:rPr>
          <w:rFonts w:ascii="Arial" w:hAnsi="Arial"/>
          <w:b/>
          <w:sz w:val="18"/>
        </w:rPr>
        <w:lastRenderedPageBreak/>
        <w:t>ТАБЕЛА III. Препорачан план за следење</w:t>
      </w:r>
    </w:p>
    <w:tbl>
      <w:tblPr>
        <w:tblStyle w:val="TableGrid3"/>
        <w:tblW w:w="0" w:type="auto"/>
        <w:tblLook w:val="04A0" w:firstRow="1" w:lastRow="0" w:firstColumn="1" w:lastColumn="0" w:noHBand="0" w:noVBand="1"/>
      </w:tblPr>
      <w:tblGrid>
        <w:gridCol w:w="2538"/>
        <w:gridCol w:w="1292"/>
        <w:gridCol w:w="1915"/>
        <w:gridCol w:w="1915"/>
        <w:gridCol w:w="1916"/>
      </w:tblGrid>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Активност/ проценка</w:t>
            </w:r>
          </w:p>
        </w:tc>
        <w:tc>
          <w:tcPr>
            <w:tcW w:w="1292" w:type="dxa"/>
          </w:tcPr>
          <w:p w:rsidR="008027D6" w:rsidRPr="008027D6" w:rsidRDefault="008027D6" w:rsidP="008027D6">
            <w:pPr>
              <w:rPr>
                <w:rFonts w:ascii="Arial" w:hAnsi="Arial"/>
                <w:b/>
                <w:sz w:val="18"/>
              </w:rPr>
            </w:pPr>
            <w:r w:rsidRPr="008027D6">
              <w:rPr>
                <w:rFonts w:ascii="Arial" w:hAnsi="Arial"/>
                <w:b/>
                <w:sz w:val="18"/>
              </w:rPr>
              <w:t>При првичната посета</w:t>
            </w:r>
          </w:p>
        </w:tc>
        <w:tc>
          <w:tcPr>
            <w:tcW w:w="1915" w:type="dxa"/>
          </w:tcPr>
          <w:p w:rsidR="008027D6" w:rsidRPr="008027D6" w:rsidRDefault="008027D6" w:rsidP="008027D6">
            <w:pPr>
              <w:rPr>
                <w:rFonts w:ascii="Arial" w:hAnsi="Arial"/>
                <w:b/>
                <w:sz w:val="18"/>
              </w:rPr>
            </w:pPr>
            <w:r w:rsidRPr="008027D6">
              <w:rPr>
                <w:rFonts w:ascii="Arial" w:hAnsi="Arial"/>
                <w:b/>
                <w:sz w:val="18"/>
              </w:rPr>
              <w:t>При редовната посета</w:t>
            </w:r>
          </w:p>
        </w:tc>
        <w:tc>
          <w:tcPr>
            <w:tcW w:w="1915" w:type="dxa"/>
          </w:tcPr>
          <w:p w:rsidR="008027D6" w:rsidRPr="008027D6" w:rsidRDefault="008027D6" w:rsidP="008027D6">
            <w:pPr>
              <w:rPr>
                <w:rFonts w:ascii="Arial" w:hAnsi="Arial"/>
                <w:b/>
                <w:sz w:val="18"/>
              </w:rPr>
            </w:pPr>
            <w:r w:rsidRPr="008027D6">
              <w:rPr>
                <w:rFonts w:ascii="Arial" w:hAnsi="Arial"/>
                <w:b/>
                <w:sz w:val="18"/>
              </w:rPr>
              <w:t>На секои 6 месеци</w:t>
            </w:r>
          </w:p>
        </w:tc>
        <w:tc>
          <w:tcPr>
            <w:tcW w:w="1916" w:type="dxa"/>
          </w:tcPr>
          <w:p w:rsidR="008027D6" w:rsidRPr="008027D6" w:rsidRDefault="008027D6" w:rsidP="008027D6">
            <w:pPr>
              <w:rPr>
                <w:rFonts w:ascii="Arial" w:hAnsi="Arial"/>
                <w:b/>
                <w:sz w:val="18"/>
              </w:rPr>
            </w:pPr>
            <w:r w:rsidRPr="008027D6">
              <w:rPr>
                <w:rFonts w:ascii="Arial" w:hAnsi="Arial"/>
                <w:b/>
                <w:sz w:val="18"/>
              </w:rPr>
              <w:t>На секои 12 месеци</w:t>
            </w: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Првична евалуација и едукација</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Обезбедување на едукативни материјали за ХАЕ</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Разговарање за предизвикувачите на ХАЕ</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Развој или преглед на акционен план за третман</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Развој на евиденција за ХАЕ напад</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Воспоставување на најдобар метод за контакт со докторот</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Преглед на опциите за лекови за ХАЕ</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Препишување на</w:t>
            </w:r>
            <w:r w:rsidRPr="008027D6">
              <w:rPr>
                <w:rFonts w:ascii="Arial" w:hAnsi="Arial"/>
                <w:b/>
                <w:i/>
                <w:sz w:val="18"/>
              </w:rPr>
              <w:t xml:space="preserve"> третман според потреба</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Преглед на опциите за третман при патување</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Преглед на потребата за предпроцедурална профилакса</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Преглед на другите актуелни лекови</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Проценка за влијанието на ХАЕ врз квалитетот на живот</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Дискутирање за тестирање на членови од семејството за ХАЕ</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Следење на терапијата според потреба</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 xml:space="preserve">Преглед на дневникот за напад </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Преглед на фреквенцијата на третманот</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Верификување на двете достапни дози на кои не им е истечен рокот</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Следење на медицинските негативни ефекти</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Андрогени</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LFTs, UA, липиден профил</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Ултразвук на џигерот*</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6" w:type="dxa"/>
          </w:tcPr>
          <w:p w:rsidR="008027D6" w:rsidRPr="008027D6" w:rsidRDefault="008027D6" w:rsidP="008027D6">
            <w:pPr>
              <w:rPr>
                <w:rFonts w:ascii="Arial" w:hAnsi="Arial"/>
                <w:b/>
                <w:sz w:val="18"/>
              </w:rPr>
            </w:pPr>
            <w:r w:rsidRPr="008027D6">
              <w:rPr>
                <w:rFonts w:ascii="Arial" w:hAnsi="Arial"/>
                <w:b/>
                <w:sz w:val="18"/>
              </w:rPr>
              <w:t>Х</w:t>
            </w: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Крвен притисок, тежина, знаци на вирилизација</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Антифибриолитици</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 xml:space="preserve">LFTs, ниво на креатинин, ниво на CPK, алдолаза, </w:t>
            </w:r>
            <w:r w:rsidRPr="008027D6">
              <w:rPr>
                <w:rFonts w:ascii="Arial" w:hAnsi="Arial"/>
                <w:b/>
                <w:sz w:val="18"/>
              </w:rPr>
              <w:lastRenderedPageBreak/>
              <w:t>UA</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lastRenderedPageBreak/>
              <w:t>Офталмолошко испитување</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r w:rsidRPr="008027D6">
              <w:rPr>
                <w:rFonts w:ascii="Arial" w:hAnsi="Arial"/>
                <w:b/>
                <w:sz w:val="18"/>
              </w:rPr>
              <w:t>Х</w:t>
            </w: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pd-C1INH</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Посветување внимание на проблемите поврзани со администрацијата</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Екалантид</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Проценка на хиперсензитивните реакции</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Икатибант</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Проценка на реакцијата на местото на инјекција</w:t>
            </w:r>
          </w:p>
        </w:tc>
        <w:tc>
          <w:tcPr>
            <w:tcW w:w="1292"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p>
        </w:tc>
      </w:tr>
      <w:tr w:rsidR="008027D6" w:rsidRPr="008027D6" w:rsidTr="008027D6">
        <w:tc>
          <w:tcPr>
            <w:tcW w:w="2538" w:type="dxa"/>
          </w:tcPr>
          <w:p w:rsidR="008027D6" w:rsidRPr="008027D6" w:rsidRDefault="008027D6" w:rsidP="008027D6">
            <w:pPr>
              <w:rPr>
                <w:rFonts w:ascii="Arial" w:hAnsi="Arial"/>
                <w:b/>
                <w:sz w:val="18"/>
              </w:rPr>
            </w:pPr>
            <w:r w:rsidRPr="008027D6">
              <w:rPr>
                <w:rFonts w:ascii="Arial" w:hAnsi="Arial"/>
                <w:b/>
                <w:sz w:val="18"/>
              </w:rPr>
              <w:t>Посета на специјалист за ХАЕ</w:t>
            </w:r>
          </w:p>
        </w:tc>
        <w:tc>
          <w:tcPr>
            <w:tcW w:w="1292" w:type="dxa"/>
          </w:tcPr>
          <w:p w:rsidR="008027D6" w:rsidRPr="008027D6" w:rsidRDefault="008027D6" w:rsidP="008027D6">
            <w:pPr>
              <w:rPr>
                <w:rFonts w:ascii="Arial" w:hAnsi="Arial"/>
                <w:b/>
                <w:sz w:val="18"/>
              </w:rPr>
            </w:pPr>
            <w:r w:rsidRPr="008027D6">
              <w:rPr>
                <w:rFonts w:ascii="Arial" w:hAnsi="Arial"/>
                <w:b/>
                <w:sz w:val="18"/>
              </w:rPr>
              <w:t>Х</w:t>
            </w:r>
          </w:p>
        </w:tc>
        <w:tc>
          <w:tcPr>
            <w:tcW w:w="1915" w:type="dxa"/>
          </w:tcPr>
          <w:p w:rsidR="008027D6" w:rsidRPr="008027D6" w:rsidRDefault="008027D6" w:rsidP="008027D6">
            <w:pPr>
              <w:rPr>
                <w:rFonts w:ascii="Arial" w:hAnsi="Arial"/>
                <w:b/>
                <w:sz w:val="18"/>
              </w:rPr>
            </w:pPr>
          </w:p>
        </w:tc>
        <w:tc>
          <w:tcPr>
            <w:tcW w:w="1915" w:type="dxa"/>
          </w:tcPr>
          <w:p w:rsidR="008027D6" w:rsidRPr="008027D6" w:rsidRDefault="008027D6" w:rsidP="008027D6">
            <w:pPr>
              <w:rPr>
                <w:rFonts w:ascii="Arial" w:hAnsi="Arial"/>
                <w:b/>
                <w:sz w:val="18"/>
              </w:rPr>
            </w:pPr>
          </w:p>
        </w:tc>
        <w:tc>
          <w:tcPr>
            <w:tcW w:w="1916" w:type="dxa"/>
          </w:tcPr>
          <w:p w:rsidR="008027D6" w:rsidRPr="008027D6" w:rsidRDefault="008027D6" w:rsidP="008027D6">
            <w:pPr>
              <w:rPr>
                <w:rFonts w:ascii="Arial" w:hAnsi="Arial"/>
                <w:b/>
                <w:sz w:val="18"/>
              </w:rPr>
            </w:pPr>
            <w:r w:rsidRPr="008027D6">
              <w:rPr>
                <w:rFonts w:ascii="Arial" w:hAnsi="Arial"/>
                <w:b/>
                <w:sz w:val="18"/>
              </w:rPr>
              <w:t>Х</w:t>
            </w:r>
          </w:p>
        </w:tc>
      </w:tr>
    </w:tbl>
    <w:p w:rsidR="008027D6" w:rsidRPr="008027D6" w:rsidRDefault="008027D6" w:rsidP="008027D6">
      <w:pPr>
        <w:spacing w:after="0"/>
        <w:rPr>
          <w:rFonts w:ascii="Arial" w:hAnsi="Arial"/>
          <w:i/>
          <w:sz w:val="18"/>
        </w:rPr>
      </w:pPr>
      <w:r w:rsidRPr="008027D6">
        <w:rPr>
          <w:rFonts w:ascii="Arial" w:hAnsi="Arial"/>
          <w:sz w:val="18"/>
        </w:rPr>
        <w:t xml:space="preserve"> </w:t>
      </w:r>
      <w:r w:rsidRPr="008027D6">
        <w:rPr>
          <w:rFonts w:ascii="Arial" w:hAnsi="Arial"/>
          <w:i/>
          <w:sz w:val="18"/>
        </w:rPr>
        <w:t>CPK, Серум креатин фосфокиназа; LFT, тестирање на функцијата на џигерот; UA, анализа на урината</w:t>
      </w:r>
    </w:p>
    <w:p w:rsidR="008027D6" w:rsidRPr="008027D6" w:rsidRDefault="008027D6" w:rsidP="008027D6">
      <w:pPr>
        <w:spacing w:after="0"/>
        <w:rPr>
          <w:rFonts w:ascii="Arial" w:hAnsi="Arial"/>
          <w:sz w:val="18"/>
        </w:rPr>
      </w:pPr>
    </w:p>
    <w:p w:rsidR="008027D6" w:rsidRPr="008027D6" w:rsidRDefault="008027D6" w:rsidP="008027D6">
      <w:pPr>
        <w:spacing w:after="0"/>
        <w:rPr>
          <w:rFonts w:ascii="Arial" w:hAnsi="Arial"/>
          <w:sz w:val="18"/>
        </w:rPr>
      </w:pPr>
      <w:r w:rsidRPr="008027D6">
        <w:rPr>
          <w:rFonts w:ascii="Arial" w:hAnsi="Arial"/>
          <w:sz w:val="18"/>
        </w:rPr>
        <w:t>*Доколку дозата на андрогени е поголема од онаа на даназолот 200mg/d или еквивалент</w:t>
      </w:r>
    </w:p>
    <w:p w:rsidR="008027D6" w:rsidRDefault="008027D6">
      <w:pPr>
        <w:rPr>
          <w:rFonts w:ascii="Arial" w:hAnsi="Arial"/>
          <w:sz w:val="20"/>
        </w:rPr>
      </w:pPr>
    </w:p>
    <w:p w:rsidR="008027D6" w:rsidRDefault="008027D6" w:rsidP="004653B2">
      <w:pPr>
        <w:spacing w:after="0"/>
        <w:jc w:val="both"/>
        <w:rPr>
          <w:rFonts w:ascii="Arial" w:hAnsi="Arial"/>
          <w:sz w:val="20"/>
        </w:rPr>
        <w:sectPr w:rsidR="008027D6" w:rsidSect="008027D6">
          <w:endnotePr>
            <w:numFmt w:val="decimal"/>
          </w:endnotePr>
          <w:type w:val="continuous"/>
          <w:pgSz w:w="12240" w:h="15840"/>
          <w:pgMar w:top="1440" w:right="1440" w:bottom="1440" w:left="1440" w:header="720" w:footer="720" w:gutter="0"/>
          <w:cols w:space="720"/>
          <w:docGrid w:linePitch="360"/>
        </w:sectPr>
      </w:pPr>
    </w:p>
    <w:p w:rsidR="003623AF" w:rsidRDefault="009F3C28" w:rsidP="004653B2">
      <w:pPr>
        <w:spacing w:after="0"/>
        <w:jc w:val="both"/>
        <w:rPr>
          <w:rFonts w:ascii="Arial" w:hAnsi="Arial"/>
          <w:sz w:val="20"/>
        </w:rPr>
      </w:pPr>
      <w:r>
        <w:rPr>
          <w:rFonts w:ascii="Arial" w:hAnsi="Arial"/>
          <w:sz w:val="20"/>
        </w:rPr>
        <w:lastRenderedPageBreak/>
        <w:t xml:space="preserve">пациентите (види Дел 4.2. Следење на употребата на </w:t>
      </w:r>
      <w:r w:rsidRPr="00F6450B">
        <w:rPr>
          <w:rFonts w:ascii="Arial" w:hAnsi="Arial"/>
          <w:i/>
          <w:sz w:val="20"/>
        </w:rPr>
        <w:t>лекови според потреба</w:t>
      </w:r>
      <w:r>
        <w:rPr>
          <w:rFonts w:ascii="Arial" w:hAnsi="Arial"/>
          <w:sz w:val="20"/>
        </w:rPr>
        <w:t xml:space="preserve">). Како втора причина, ќе се увидат можните потешкотии при администрирањето на лековите. Како трето, може да се идентификуваат нападите </w:t>
      </w:r>
      <w:r w:rsidR="00857EED">
        <w:rPr>
          <w:rFonts w:ascii="Arial" w:hAnsi="Arial"/>
          <w:sz w:val="20"/>
        </w:rPr>
        <w:t xml:space="preserve">(потенцијално помалку сериозни) кои можеби не се идентификувани од страна на пациентот или пак пациентот ги смета за „нормален“ </w:t>
      </w:r>
      <w:r w:rsidR="00EC47A8">
        <w:rPr>
          <w:rFonts w:ascii="Arial" w:hAnsi="Arial"/>
          <w:sz w:val="20"/>
        </w:rPr>
        <w:t>дел од неговата болест. Информирањето</w:t>
      </w:r>
      <w:r w:rsidR="00857EED">
        <w:rPr>
          <w:rFonts w:ascii="Arial" w:hAnsi="Arial"/>
          <w:sz w:val="20"/>
        </w:rPr>
        <w:t xml:space="preserve"> за овие помалку сериозни напади може да го натера докторот да разгледа алтернативни терапии, вклучувајќи ја профилаксата, или да го охрабри пациентот да третира поголем дел од неговите или нејзините напади. Податоците што се собираат за нападот во записите за напад се смета дека претставуваат витални информации кои треба да се документираат во медицинското досие на пациентот. Ваквиот дневник на напад треба да му се даде на докторот што ја третира состојбата и редовно да се прегледува (лично или по електронски пат), што претходно е договорено меѓу пациентот и докторот. Во моментов не постојат валидирани прашалници кои се специјализирани за ХАЕ за да се процени сериозноста на нападот или да се стави болеста под контрола. Сериозноста на ХАЕ напад е субјективна мерка, што често може да се одредува од страна на пациентите, </w:t>
      </w:r>
      <w:r w:rsidR="00857EED">
        <w:rPr>
          <w:rFonts w:ascii="Arial" w:hAnsi="Arial"/>
          <w:sz w:val="20"/>
        </w:rPr>
        <w:lastRenderedPageBreak/>
        <w:t xml:space="preserve">честопати преку минатото искуство или </w:t>
      </w:r>
      <w:r w:rsidR="00EC47A8">
        <w:rPr>
          <w:rFonts w:ascii="Arial" w:hAnsi="Arial"/>
          <w:sz w:val="20"/>
        </w:rPr>
        <w:t xml:space="preserve">при </w:t>
      </w:r>
      <w:r w:rsidR="00CE324C">
        <w:rPr>
          <w:rFonts w:ascii="Arial" w:hAnsi="Arial"/>
          <w:sz w:val="20"/>
        </w:rPr>
        <w:t>прогреси</w:t>
      </w:r>
      <w:r w:rsidR="00EC47A8">
        <w:rPr>
          <w:rFonts w:ascii="Arial" w:hAnsi="Arial"/>
          <w:sz w:val="20"/>
        </w:rPr>
        <w:t>ја на</w:t>
      </w:r>
      <w:r w:rsidR="00CE324C">
        <w:rPr>
          <w:rFonts w:ascii="Arial" w:hAnsi="Arial"/>
          <w:sz w:val="20"/>
        </w:rPr>
        <w:t xml:space="preserve"> актуелен напад. Сериозноста на нападот, меѓутоа, може да се карактеризира со влијание</w:t>
      </w:r>
      <w:r w:rsidR="00EC47A8">
        <w:rPr>
          <w:rFonts w:ascii="Arial" w:hAnsi="Arial"/>
          <w:sz w:val="20"/>
        </w:rPr>
        <w:t>то</w:t>
      </w:r>
      <w:r w:rsidR="00CE324C">
        <w:rPr>
          <w:rFonts w:ascii="Arial" w:hAnsi="Arial"/>
          <w:sz w:val="20"/>
        </w:rPr>
        <w:t xml:space="preserve"> врз способноста  </w:t>
      </w:r>
      <w:r w:rsidR="001B1B8E">
        <w:rPr>
          <w:rFonts w:ascii="Arial" w:hAnsi="Arial"/>
          <w:sz w:val="20"/>
        </w:rPr>
        <w:t>на пациентот да ги врши неговите или нејзините секојдневни активности.</w:t>
      </w:r>
      <w:r w:rsidR="001B1B8E">
        <w:rPr>
          <w:rFonts w:ascii="Arial" w:hAnsi="Arial"/>
          <w:sz w:val="20"/>
          <w:vertAlign w:val="superscript"/>
        </w:rPr>
        <w:t>16</w:t>
      </w:r>
      <w:r w:rsidR="001B1B8E">
        <w:rPr>
          <w:rFonts w:ascii="Arial" w:hAnsi="Arial"/>
          <w:sz w:val="20"/>
        </w:rPr>
        <w:t>: без ограничувања (слаб), во состојба е да ги врши активностите со</w:t>
      </w:r>
      <w:r w:rsidR="00144A36">
        <w:rPr>
          <w:rFonts w:ascii="Arial" w:hAnsi="Arial"/>
          <w:sz w:val="20"/>
        </w:rPr>
        <w:t xml:space="preserve"> одредени ограничувања (умерен), или неспособност за вршење активности (сериозен). </w:t>
      </w:r>
      <w:r w:rsidR="00D36587">
        <w:rPr>
          <w:rFonts w:ascii="Arial" w:hAnsi="Arial"/>
          <w:sz w:val="20"/>
        </w:rPr>
        <w:t>Локацијата на нападот може да влијае врз сериозноста, на пр. напад на дишните патишта е веројатно да се смета сериозен. Меѓутоа, многу пациенти доживуваат сериозни ограничувања при нападите на екстремитетите и затоа периферните напади исто така може да се сметаат за сериозни.</w:t>
      </w:r>
      <w:r w:rsidR="00D36587">
        <w:rPr>
          <w:rFonts w:ascii="Arial" w:hAnsi="Arial"/>
          <w:sz w:val="20"/>
          <w:vertAlign w:val="superscript"/>
        </w:rPr>
        <w:t>23</w:t>
      </w:r>
      <w:r w:rsidR="00D36587">
        <w:rPr>
          <w:rFonts w:ascii="Arial" w:hAnsi="Arial"/>
          <w:sz w:val="20"/>
        </w:rPr>
        <w:t xml:space="preserve"> При клиничките студии за ХАЕ се употребија неколку различни мерила за да се процени сериозноста на болеста и реак</w:t>
      </w:r>
      <w:r w:rsidR="00356F58">
        <w:rPr>
          <w:rFonts w:ascii="Arial" w:hAnsi="Arial"/>
          <w:sz w:val="20"/>
        </w:rPr>
        <w:t>цијата на лекови, вклучувајќи ги визуелните аналогни</w:t>
      </w:r>
      <w:r w:rsidR="00D36587">
        <w:rPr>
          <w:rFonts w:ascii="Arial" w:hAnsi="Arial"/>
          <w:sz w:val="20"/>
        </w:rPr>
        <w:t xml:space="preserve"> мерил</w:t>
      </w:r>
      <w:r w:rsidR="00356F58">
        <w:rPr>
          <w:rFonts w:ascii="Arial" w:hAnsi="Arial"/>
          <w:sz w:val="20"/>
        </w:rPr>
        <w:t>а</w:t>
      </w:r>
      <w:r w:rsidR="00D36587">
        <w:rPr>
          <w:rFonts w:ascii="Arial" w:hAnsi="Arial"/>
          <w:sz w:val="20"/>
        </w:rPr>
        <w:t xml:space="preserve">, </w:t>
      </w:r>
      <w:r w:rsidR="00D36587">
        <w:rPr>
          <w:rFonts w:ascii="Arial" w:hAnsi="Arial"/>
          <w:sz w:val="20"/>
          <w:vertAlign w:val="superscript"/>
        </w:rPr>
        <w:t>8-</w:t>
      </w:r>
      <w:r w:rsidR="00D22895">
        <w:rPr>
          <w:rStyle w:val="EndnoteReference"/>
          <w:rFonts w:ascii="Arial" w:hAnsi="Arial"/>
          <w:sz w:val="20"/>
        </w:rPr>
        <w:endnoteReference w:id="32"/>
      </w:r>
      <w:r w:rsidR="00356F58">
        <w:rPr>
          <w:rFonts w:ascii="Arial" w:hAnsi="Arial"/>
          <w:sz w:val="20"/>
        </w:rPr>
        <w:t>, м</w:t>
      </w:r>
      <w:r w:rsidR="00D36587">
        <w:rPr>
          <w:rFonts w:ascii="Arial" w:hAnsi="Arial"/>
          <w:sz w:val="20"/>
        </w:rPr>
        <w:t xml:space="preserve">ерилото од типот Ликерт, </w:t>
      </w:r>
      <w:r w:rsidR="00D36587">
        <w:rPr>
          <w:rFonts w:ascii="Arial" w:hAnsi="Arial"/>
          <w:sz w:val="20"/>
          <w:vertAlign w:val="superscript"/>
        </w:rPr>
        <w:t>10,11</w:t>
      </w:r>
      <w:r w:rsidR="00D36587">
        <w:rPr>
          <w:rFonts w:ascii="Arial" w:hAnsi="Arial"/>
          <w:sz w:val="20"/>
        </w:rPr>
        <w:t xml:space="preserve"> и композитни</w:t>
      </w:r>
      <w:r w:rsidR="00356F58">
        <w:rPr>
          <w:rFonts w:ascii="Arial" w:hAnsi="Arial"/>
          <w:sz w:val="20"/>
        </w:rPr>
        <w:t>те</w:t>
      </w:r>
      <w:r w:rsidR="00D36587">
        <w:rPr>
          <w:rFonts w:ascii="Arial" w:hAnsi="Arial"/>
          <w:sz w:val="20"/>
        </w:rPr>
        <w:t xml:space="preserve"> мерила.</w:t>
      </w:r>
      <w:r w:rsidR="00D36587">
        <w:rPr>
          <w:rFonts w:ascii="Arial" w:hAnsi="Arial"/>
          <w:sz w:val="20"/>
          <w:vertAlign w:val="superscript"/>
        </w:rPr>
        <w:t>9</w:t>
      </w:r>
      <w:r w:rsidR="00D36587">
        <w:rPr>
          <w:rFonts w:ascii="Arial" w:hAnsi="Arial"/>
          <w:sz w:val="20"/>
        </w:rPr>
        <w:t xml:space="preserve"> Во моментов не постои тест на крвта со којшто точно може да се одреди сериозноста на ХАЕ кај пациентот или контролата на болеста. Не постои врска меѓу сериозноста на болеста и C4-, нивоата на антигени на C1INH и функцијата,</w:t>
      </w:r>
      <w:r w:rsidR="00D36587">
        <w:rPr>
          <w:rFonts w:ascii="Arial" w:hAnsi="Arial"/>
          <w:sz w:val="20"/>
          <w:vertAlign w:val="superscript"/>
        </w:rPr>
        <w:t>7</w:t>
      </w:r>
      <w:r w:rsidR="00BB6F3F">
        <w:rPr>
          <w:rFonts w:ascii="Arial" w:hAnsi="Arial"/>
          <w:sz w:val="20"/>
        </w:rPr>
        <w:t xml:space="preserve">, па членовите на МСО не препорачуваат </w:t>
      </w:r>
      <w:r w:rsidR="003109A8">
        <w:rPr>
          <w:rFonts w:ascii="Arial" w:hAnsi="Arial"/>
          <w:sz w:val="20"/>
        </w:rPr>
        <w:t xml:space="preserve">овие тестови да се повторат за цели за следење откако ќе се постави дијагнозата за ХАЕ. </w:t>
      </w:r>
    </w:p>
    <w:p w:rsidR="003109A8" w:rsidRDefault="003109A8" w:rsidP="004653B2">
      <w:pPr>
        <w:spacing w:after="0"/>
        <w:jc w:val="both"/>
        <w:rPr>
          <w:rFonts w:ascii="Arial" w:hAnsi="Arial"/>
          <w:sz w:val="20"/>
        </w:rPr>
      </w:pPr>
    </w:p>
    <w:p w:rsidR="003109A8" w:rsidRDefault="003109A8" w:rsidP="004653B2">
      <w:pPr>
        <w:spacing w:after="0"/>
        <w:jc w:val="both"/>
        <w:rPr>
          <w:rFonts w:ascii="Arial" w:hAnsi="Arial"/>
          <w:sz w:val="20"/>
        </w:rPr>
      </w:pPr>
      <w:r w:rsidRPr="003109A8">
        <w:rPr>
          <w:rFonts w:ascii="Arial" w:hAnsi="Arial"/>
          <w:i/>
          <w:sz w:val="20"/>
        </w:rPr>
        <w:t>4.2. Следење на употребата на лекови според потребата.</w:t>
      </w:r>
      <w:r w:rsidR="00356F58">
        <w:rPr>
          <w:rFonts w:ascii="Arial" w:hAnsi="Arial"/>
          <w:sz w:val="20"/>
        </w:rPr>
        <w:t xml:space="preserve"> Информирањето</w:t>
      </w:r>
      <w:r>
        <w:rPr>
          <w:rFonts w:ascii="Arial" w:hAnsi="Arial"/>
          <w:sz w:val="20"/>
        </w:rPr>
        <w:t xml:space="preserve"> на докторите за тоа кога на паци</w:t>
      </w:r>
      <w:r w:rsidR="00356F58">
        <w:rPr>
          <w:rFonts w:ascii="Arial" w:hAnsi="Arial"/>
          <w:sz w:val="20"/>
        </w:rPr>
        <w:t xml:space="preserve">ентите може да им треба и кога </w:t>
      </w:r>
      <w:r>
        <w:rPr>
          <w:rFonts w:ascii="Arial" w:hAnsi="Arial"/>
          <w:sz w:val="20"/>
        </w:rPr>
        <w:t>администрира</w:t>
      </w:r>
      <w:r w:rsidR="00356F58">
        <w:rPr>
          <w:rFonts w:ascii="Arial" w:hAnsi="Arial"/>
          <w:sz w:val="20"/>
        </w:rPr>
        <w:t>ле</w:t>
      </w:r>
      <w:r>
        <w:rPr>
          <w:rFonts w:ascii="Arial" w:hAnsi="Arial"/>
          <w:sz w:val="20"/>
        </w:rPr>
        <w:t xml:space="preserve"> </w:t>
      </w:r>
      <w:r w:rsidRPr="00356F58">
        <w:rPr>
          <w:rFonts w:ascii="Arial" w:hAnsi="Arial"/>
          <w:i/>
          <w:sz w:val="20"/>
        </w:rPr>
        <w:t>третман според потребите</w:t>
      </w:r>
      <w:r>
        <w:rPr>
          <w:rFonts w:ascii="Arial" w:hAnsi="Arial"/>
          <w:sz w:val="20"/>
        </w:rPr>
        <w:t xml:space="preserve"> е клучен аспект од оптималното управување со ХАЕ и ја нагласува важноста од </w:t>
      </w:r>
      <w:r w:rsidR="00356F58">
        <w:rPr>
          <w:rFonts w:ascii="Arial" w:hAnsi="Arial"/>
          <w:sz w:val="20"/>
        </w:rPr>
        <w:t>партнерството</w:t>
      </w:r>
      <w:r>
        <w:rPr>
          <w:rFonts w:ascii="Arial" w:hAnsi="Arial"/>
          <w:sz w:val="20"/>
        </w:rPr>
        <w:t xml:space="preserve"> и комуникација</w:t>
      </w:r>
      <w:r w:rsidR="00356F58">
        <w:rPr>
          <w:rFonts w:ascii="Arial" w:hAnsi="Arial"/>
          <w:sz w:val="20"/>
        </w:rPr>
        <w:t>та</w:t>
      </w:r>
      <w:r>
        <w:rPr>
          <w:rFonts w:ascii="Arial" w:hAnsi="Arial"/>
          <w:sz w:val="20"/>
        </w:rPr>
        <w:t xml:space="preserve"> меѓу паци</w:t>
      </w:r>
      <w:r w:rsidR="00356F58">
        <w:rPr>
          <w:rFonts w:ascii="Arial" w:hAnsi="Arial"/>
          <w:sz w:val="20"/>
        </w:rPr>
        <w:t>ентот и докторот. Кога пациентите</w:t>
      </w:r>
      <w:r>
        <w:rPr>
          <w:rFonts w:ascii="Arial" w:hAnsi="Arial"/>
          <w:sz w:val="20"/>
        </w:rPr>
        <w:t xml:space="preserve"> сам</w:t>
      </w:r>
      <w:r w:rsidR="00356F58">
        <w:rPr>
          <w:rFonts w:ascii="Arial" w:hAnsi="Arial"/>
          <w:sz w:val="20"/>
        </w:rPr>
        <w:t>и</w:t>
      </w:r>
      <w:r>
        <w:rPr>
          <w:rFonts w:ascii="Arial" w:hAnsi="Arial"/>
          <w:sz w:val="20"/>
        </w:rPr>
        <w:t xml:space="preserve"> си администрира</w:t>
      </w:r>
      <w:r w:rsidR="00356F58">
        <w:rPr>
          <w:rFonts w:ascii="Arial" w:hAnsi="Arial"/>
          <w:sz w:val="20"/>
        </w:rPr>
        <w:t>ат</w:t>
      </w:r>
      <w:r>
        <w:rPr>
          <w:rFonts w:ascii="Arial" w:hAnsi="Arial"/>
          <w:sz w:val="20"/>
        </w:rPr>
        <w:t xml:space="preserve"> или прима</w:t>
      </w:r>
      <w:r w:rsidR="00356F58">
        <w:rPr>
          <w:rFonts w:ascii="Arial" w:hAnsi="Arial"/>
          <w:sz w:val="20"/>
        </w:rPr>
        <w:t>ат</w:t>
      </w:r>
      <w:r>
        <w:rPr>
          <w:rFonts w:ascii="Arial" w:hAnsi="Arial"/>
          <w:sz w:val="20"/>
        </w:rPr>
        <w:t xml:space="preserve"> терапија според потребите, мора да има план пациентот тоа навремено да го пријави, како што дискутиравме п</w:t>
      </w:r>
      <w:r w:rsidR="00D43706">
        <w:rPr>
          <w:rFonts w:ascii="Arial" w:hAnsi="Arial"/>
          <w:sz w:val="20"/>
        </w:rPr>
        <w:t>огоре. Исто така може да е корисно</w:t>
      </w:r>
      <w:r>
        <w:rPr>
          <w:rFonts w:ascii="Arial" w:hAnsi="Arial"/>
          <w:sz w:val="20"/>
        </w:rPr>
        <w:t xml:space="preserve"> зд</w:t>
      </w:r>
      <w:r w:rsidR="00D43706">
        <w:rPr>
          <w:rFonts w:ascii="Arial" w:hAnsi="Arial"/>
          <w:sz w:val="20"/>
        </w:rPr>
        <w:t>равствените работници кои админ</w:t>
      </w:r>
      <w:r>
        <w:rPr>
          <w:rFonts w:ascii="Arial" w:hAnsi="Arial"/>
          <w:sz w:val="20"/>
        </w:rPr>
        <w:t>и</w:t>
      </w:r>
      <w:r w:rsidR="00D43706">
        <w:rPr>
          <w:rFonts w:ascii="Arial" w:hAnsi="Arial"/>
          <w:sz w:val="20"/>
        </w:rPr>
        <w:t>с</w:t>
      </w:r>
      <w:r>
        <w:rPr>
          <w:rFonts w:ascii="Arial" w:hAnsi="Arial"/>
          <w:sz w:val="20"/>
        </w:rPr>
        <w:t>трираат терапија според потребите  во меди</w:t>
      </w:r>
      <w:r w:rsidR="00D43706">
        <w:rPr>
          <w:rFonts w:ascii="Arial" w:hAnsi="Arial"/>
          <w:sz w:val="20"/>
        </w:rPr>
        <w:t>цинска установа или во</w:t>
      </w:r>
      <w:r>
        <w:rPr>
          <w:rFonts w:ascii="Arial" w:hAnsi="Arial"/>
          <w:sz w:val="20"/>
        </w:rPr>
        <w:t xml:space="preserve"> служба</w:t>
      </w:r>
      <w:r w:rsidR="00D43706">
        <w:rPr>
          <w:rFonts w:ascii="Arial" w:hAnsi="Arial"/>
          <w:sz w:val="20"/>
        </w:rPr>
        <w:t>та за домашна нега тие третмани да ги пријават</w:t>
      </w:r>
      <w:r>
        <w:rPr>
          <w:rFonts w:ascii="Arial" w:hAnsi="Arial"/>
          <w:sz w:val="20"/>
        </w:rPr>
        <w:t xml:space="preserve"> на експерт</w:t>
      </w:r>
      <w:r w:rsidR="00D43706">
        <w:rPr>
          <w:rFonts w:ascii="Arial" w:hAnsi="Arial"/>
          <w:sz w:val="20"/>
        </w:rPr>
        <w:t>от</w:t>
      </w:r>
      <w:r>
        <w:rPr>
          <w:rFonts w:ascii="Arial" w:hAnsi="Arial"/>
          <w:sz w:val="20"/>
        </w:rPr>
        <w:t xml:space="preserve"> доктор</w:t>
      </w:r>
      <w:r w:rsidR="00D43706">
        <w:rPr>
          <w:rFonts w:ascii="Arial" w:hAnsi="Arial"/>
          <w:sz w:val="20"/>
        </w:rPr>
        <w:t xml:space="preserve"> за ХАЕ</w:t>
      </w:r>
      <w:r>
        <w:rPr>
          <w:rFonts w:ascii="Arial" w:hAnsi="Arial"/>
          <w:sz w:val="20"/>
        </w:rPr>
        <w:t>. Честата употреба на лек според потребите, влошување</w:t>
      </w:r>
      <w:r w:rsidR="00D43706">
        <w:rPr>
          <w:rFonts w:ascii="Arial" w:hAnsi="Arial"/>
          <w:sz w:val="20"/>
        </w:rPr>
        <w:t>то</w:t>
      </w:r>
      <w:r>
        <w:rPr>
          <w:rFonts w:ascii="Arial" w:hAnsi="Arial"/>
          <w:sz w:val="20"/>
        </w:rPr>
        <w:t xml:space="preserve"> на контролата на болеста или намален</w:t>
      </w:r>
      <w:r w:rsidR="00D43706">
        <w:rPr>
          <w:rFonts w:ascii="Arial" w:hAnsi="Arial"/>
          <w:sz w:val="20"/>
        </w:rPr>
        <w:t>иот</w:t>
      </w:r>
      <w:r>
        <w:rPr>
          <w:rFonts w:ascii="Arial" w:hAnsi="Arial"/>
          <w:sz w:val="20"/>
        </w:rPr>
        <w:t xml:space="preserve"> квалитет на живот треба да ја сигнализира потребата за повторна евалуација и </w:t>
      </w:r>
      <w:r w:rsidR="00135EF4">
        <w:rPr>
          <w:rFonts w:ascii="Arial" w:hAnsi="Arial"/>
          <w:sz w:val="20"/>
        </w:rPr>
        <w:t>план за лечење.</w:t>
      </w:r>
      <w:r w:rsidR="00135EF4">
        <w:rPr>
          <w:rFonts w:ascii="Arial" w:hAnsi="Arial"/>
          <w:sz w:val="20"/>
          <w:vertAlign w:val="superscript"/>
        </w:rPr>
        <w:t>13,16</w:t>
      </w:r>
      <w:r w:rsidR="00135EF4">
        <w:rPr>
          <w:rFonts w:ascii="Arial" w:hAnsi="Arial"/>
          <w:sz w:val="20"/>
        </w:rPr>
        <w:t xml:space="preserve"> Докторот прво треба да го бара можниот предизвикувач поради којшто се влошува </w:t>
      </w:r>
      <w:r w:rsidR="00D43706">
        <w:rPr>
          <w:rFonts w:ascii="Arial" w:hAnsi="Arial"/>
          <w:sz w:val="20"/>
        </w:rPr>
        <w:t xml:space="preserve">состојбата на </w:t>
      </w:r>
      <w:r w:rsidR="00135EF4">
        <w:rPr>
          <w:rFonts w:ascii="Arial" w:hAnsi="Arial"/>
          <w:sz w:val="20"/>
        </w:rPr>
        <w:t>ХАЕ,</w:t>
      </w:r>
      <w:r w:rsidR="00D43706">
        <w:rPr>
          <w:rFonts w:ascii="Arial" w:hAnsi="Arial"/>
          <w:sz w:val="20"/>
        </w:rPr>
        <w:t xml:space="preserve"> како на пр. </w:t>
      </w:r>
      <w:r w:rsidR="00135EF4">
        <w:rPr>
          <w:rFonts w:ascii="Arial" w:hAnsi="Arial"/>
          <w:sz w:val="20"/>
        </w:rPr>
        <w:t>вклучува</w:t>
      </w:r>
      <w:r w:rsidR="00D43706">
        <w:rPr>
          <w:rFonts w:ascii="Arial" w:hAnsi="Arial"/>
          <w:sz w:val="20"/>
        </w:rPr>
        <w:t xml:space="preserve">њето </w:t>
      </w:r>
      <w:r w:rsidR="00135EF4">
        <w:rPr>
          <w:rFonts w:ascii="Arial" w:hAnsi="Arial"/>
          <w:sz w:val="20"/>
        </w:rPr>
        <w:t xml:space="preserve"> на инхибитор на ангиотензин конвертирачки ензим или лековите што содржат ес</w:t>
      </w:r>
      <w:r w:rsidR="006E755A">
        <w:rPr>
          <w:rFonts w:ascii="Arial" w:hAnsi="Arial"/>
          <w:sz w:val="20"/>
        </w:rPr>
        <w:t>троген, емоционалниот стрес, инфекциите или потенцијалните физички трауми (кои м</w:t>
      </w:r>
      <w:r w:rsidR="00D43706">
        <w:rPr>
          <w:rFonts w:ascii="Arial" w:hAnsi="Arial"/>
          <w:sz w:val="20"/>
        </w:rPr>
        <w:t>оже да се релативно слаби</w:t>
      </w:r>
      <w:r w:rsidR="006E755A">
        <w:rPr>
          <w:rFonts w:ascii="Arial" w:hAnsi="Arial"/>
          <w:sz w:val="20"/>
        </w:rPr>
        <w:t xml:space="preserve"> или притисок што е повторлив). ХАЕ експертот треба да разговара со пациентот за времето на администрација на лекот во однос на нападот. </w:t>
      </w:r>
      <w:r w:rsidR="007B3C48">
        <w:rPr>
          <w:rFonts w:ascii="Arial" w:hAnsi="Arial"/>
          <w:sz w:val="20"/>
        </w:rPr>
        <w:t>Администрацијата на лекот е покорисна доколку се даде во раниот стадиум на текот на нападот наместо подоцна.</w:t>
      </w:r>
      <w:r w:rsidR="00D22895">
        <w:rPr>
          <w:rStyle w:val="EndnoteReference"/>
          <w:rFonts w:ascii="Arial" w:hAnsi="Arial"/>
          <w:sz w:val="20"/>
        </w:rPr>
        <w:endnoteReference w:id="33"/>
      </w:r>
      <w:r w:rsidR="000F584B">
        <w:rPr>
          <w:rFonts w:ascii="Arial" w:hAnsi="Arial"/>
          <w:sz w:val="20"/>
        </w:rPr>
        <w:t xml:space="preserve"> Има варијабилност во реакцијата на секој лек даден според потреба, </w:t>
      </w:r>
      <w:r w:rsidR="00D43706">
        <w:rPr>
          <w:rFonts w:ascii="Arial" w:hAnsi="Arial"/>
          <w:sz w:val="20"/>
        </w:rPr>
        <w:t>п</w:t>
      </w:r>
      <w:r w:rsidR="000F584B">
        <w:rPr>
          <w:rFonts w:ascii="Arial" w:hAnsi="Arial"/>
          <w:sz w:val="20"/>
        </w:rPr>
        <w:t>а некои пациенти може да не реагираат добро на одреден лек.</w:t>
      </w:r>
      <w:r w:rsidR="00D43706">
        <w:rPr>
          <w:rFonts w:ascii="Arial" w:hAnsi="Arial"/>
          <w:sz w:val="20"/>
        </w:rPr>
        <w:t xml:space="preserve"> Поради н</w:t>
      </w:r>
      <w:r w:rsidR="000F584B">
        <w:rPr>
          <w:rFonts w:ascii="Arial" w:hAnsi="Arial"/>
          <w:sz w:val="20"/>
        </w:rPr>
        <w:t xml:space="preserve">ереагирањето на лек </w:t>
      </w:r>
      <w:r w:rsidR="00D43706">
        <w:rPr>
          <w:rFonts w:ascii="Arial" w:hAnsi="Arial"/>
          <w:sz w:val="20"/>
        </w:rPr>
        <w:t>т</w:t>
      </w:r>
      <w:r w:rsidR="000F584B">
        <w:rPr>
          <w:rFonts w:ascii="Arial" w:hAnsi="Arial"/>
          <w:sz w:val="20"/>
        </w:rPr>
        <w:t xml:space="preserve">реба да </w:t>
      </w:r>
      <w:r w:rsidR="00D43706">
        <w:rPr>
          <w:rFonts w:ascii="Arial" w:hAnsi="Arial"/>
          <w:sz w:val="20"/>
        </w:rPr>
        <w:t>се изврши</w:t>
      </w:r>
      <w:r w:rsidR="000F584B">
        <w:rPr>
          <w:rFonts w:ascii="Arial" w:hAnsi="Arial"/>
          <w:sz w:val="20"/>
        </w:rPr>
        <w:t xml:space="preserve"> повторна проценка на пациентот за да се евалуираат потенцијалните причини за оток или абдоминална болка. Засега, не постојат лабораториски тестови да индицираат кои лекови се посоодветни за одредени пациенти. Кај некои пациенти неуспехот да се постигне адекватна контрола врз ХАЕ ја </w:t>
      </w:r>
      <w:r w:rsidR="000F584B">
        <w:rPr>
          <w:rFonts w:ascii="Arial" w:hAnsi="Arial"/>
          <w:sz w:val="20"/>
        </w:rPr>
        <w:lastRenderedPageBreak/>
        <w:t xml:space="preserve">сугерира потребата да се вклучи профилактички лек. </w:t>
      </w:r>
      <w:r w:rsidR="000F584B">
        <w:rPr>
          <w:rFonts w:ascii="Arial" w:hAnsi="Arial"/>
          <w:sz w:val="20"/>
          <w:vertAlign w:val="superscript"/>
        </w:rPr>
        <w:t>13,16</w:t>
      </w:r>
      <w:r w:rsidR="000F584B">
        <w:rPr>
          <w:rFonts w:ascii="Arial" w:hAnsi="Arial"/>
          <w:sz w:val="20"/>
        </w:rPr>
        <w:t xml:space="preserve"> Доколку пациентите кои веќе се третирани профилактички користат често </w:t>
      </w:r>
      <w:r w:rsidR="000F584B" w:rsidRPr="00D43706">
        <w:rPr>
          <w:rFonts w:ascii="Arial" w:hAnsi="Arial"/>
          <w:i/>
          <w:sz w:val="20"/>
        </w:rPr>
        <w:t>лекови според потреб</w:t>
      </w:r>
      <w:r w:rsidR="00D43706" w:rsidRPr="00D43706">
        <w:rPr>
          <w:rFonts w:ascii="Arial" w:hAnsi="Arial"/>
          <w:i/>
          <w:sz w:val="20"/>
        </w:rPr>
        <w:t>а</w:t>
      </w:r>
      <w:r w:rsidR="000F584B">
        <w:rPr>
          <w:rFonts w:ascii="Arial" w:hAnsi="Arial"/>
          <w:sz w:val="20"/>
        </w:rPr>
        <w:t xml:space="preserve"> за напади на отоци</w:t>
      </w:r>
      <w:r w:rsidR="00540668">
        <w:rPr>
          <w:rFonts w:ascii="Arial" w:hAnsi="Arial"/>
          <w:sz w:val="20"/>
        </w:rPr>
        <w:t xml:space="preserve"> кои се случиле и покрај терапијата, треба да им се постави прашањето дали ги зголемиле деновите меѓу администрацијата или ја намалиле дозата на самиот лек. Доколку нема промени, може да е корисно да се скрати фреквенцијата на администрација на лекот или да се зголеми дозата</w:t>
      </w:r>
      <w:r w:rsidR="00D43706">
        <w:rPr>
          <w:rFonts w:ascii="Arial" w:hAnsi="Arial"/>
          <w:sz w:val="20"/>
        </w:rPr>
        <w:t xml:space="preserve"> на</w:t>
      </w:r>
      <w:r w:rsidR="00540668">
        <w:rPr>
          <w:rFonts w:ascii="Arial" w:hAnsi="Arial"/>
          <w:sz w:val="20"/>
        </w:rPr>
        <w:t xml:space="preserve"> терапија</w:t>
      </w:r>
      <w:r w:rsidR="00D43706">
        <w:rPr>
          <w:rFonts w:ascii="Arial" w:hAnsi="Arial"/>
          <w:sz w:val="20"/>
        </w:rPr>
        <w:t>та</w:t>
      </w:r>
      <w:r w:rsidR="00540668">
        <w:rPr>
          <w:rFonts w:ascii="Arial" w:hAnsi="Arial"/>
          <w:sz w:val="20"/>
        </w:rPr>
        <w:t xml:space="preserve">. </w:t>
      </w:r>
      <w:r w:rsidR="00E47F3B">
        <w:rPr>
          <w:rFonts w:ascii="Arial" w:hAnsi="Arial"/>
          <w:sz w:val="20"/>
        </w:rPr>
        <w:t xml:space="preserve"> МСО на ХАЕА на САД препорачува докторот кој ја третира оваа состојба и пациентот да воспостават партнерство со коешто ќе се обезбеди соодветно медицинско управување и клинички преглед и ќе овозможи </w:t>
      </w:r>
      <w:r w:rsidR="0067663A">
        <w:rPr>
          <w:rFonts w:ascii="Arial" w:hAnsi="Arial"/>
          <w:sz w:val="20"/>
        </w:rPr>
        <w:t xml:space="preserve">соодветно обновување на залихите лекови, што ќе биде документирано со дневник за напади. </w:t>
      </w:r>
    </w:p>
    <w:p w:rsidR="00B64074" w:rsidRDefault="00B64074" w:rsidP="004A7F79">
      <w:pPr>
        <w:spacing w:after="0"/>
      </w:pPr>
    </w:p>
    <w:p w:rsidR="004A7F79" w:rsidRPr="004A7F79" w:rsidRDefault="004A7F79" w:rsidP="004A7F79">
      <w:pPr>
        <w:spacing w:after="0" w:line="240" w:lineRule="auto"/>
        <w:rPr>
          <w:rFonts w:ascii="Arial" w:hAnsi="Arial"/>
        </w:rPr>
      </w:pPr>
      <w:r w:rsidRPr="004A7F79">
        <w:rPr>
          <w:rFonts w:ascii="Arial" w:hAnsi="Arial"/>
        </w:rPr>
        <w:t>ТАБЕЛА IV. Препорачано собирање податоци за ангиоедем напади</w:t>
      </w:r>
    </w:p>
    <w:tbl>
      <w:tblPr>
        <w:tblStyle w:val="TableGrid"/>
        <w:tblW w:w="0" w:type="auto"/>
        <w:tblLook w:val="04A0" w:firstRow="1" w:lastRow="0" w:firstColumn="1" w:lastColumn="0" w:noHBand="0" w:noVBand="1"/>
      </w:tblPr>
      <w:tblGrid>
        <w:gridCol w:w="1368"/>
        <w:gridCol w:w="3168"/>
      </w:tblGrid>
      <w:tr w:rsidR="00B64074" w:rsidTr="00B64074">
        <w:tc>
          <w:tcPr>
            <w:tcW w:w="1368" w:type="dxa"/>
          </w:tcPr>
          <w:p w:rsidR="00B64074" w:rsidRPr="00D43706" w:rsidRDefault="004A7F79" w:rsidP="004A7F79">
            <w:pPr>
              <w:rPr>
                <w:rFonts w:ascii="Arial" w:hAnsi="Arial"/>
                <w:b/>
              </w:rPr>
            </w:pPr>
            <w:r w:rsidRPr="00D43706">
              <w:rPr>
                <w:rFonts w:ascii="Arial" w:hAnsi="Arial"/>
                <w:b/>
              </w:rPr>
              <w:t>Подрачје</w:t>
            </w:r>
          </w:p>
        </w:tc>
        <w:tc>
          <w:tcPr>
            <w:tcW w:w="3168" w:type="dxa"/>
          </w:tcPr>
          <w:p w:rsidR="00B64074" w:rsidRPr="00D43706" w:rsidRDefault="004A7F79" w:rsidP="004A7F79">
            <w:pPr>
              <w:rPr>
                <w:rFonts w:ascii="Arial" w:hAnsi="Arial"/>
                <w:b/>
              </w:rPr>
            </w:pPr>
            <w:r w:rsidRPr="00D43706">
              <w:rPr>
                <w:rFonts w:ascii="Arial" w:hAnsi="Arial"/>
                <w:b/>
              </w:rPr>
              <w:t>Прашање</w:t>
            </w:r>
          </w:p>
        </w:tc>
      </w:tr>
      <w:tr w:rsidR="00B64074" w:rsidTr="00B64074">
        <w:tc>
          <w:tcPr>
            <w:tcW w:w="1368" w:type="dxa"/>
          </w:tcPr>
          <w:p w:rsidR="00B64074" w:rsidRPr="007D1220" w:rsidRDefault="007D1220">
            <w:pPr>
              <w:rPr>
                <w:rFonts w:ascii="Arial" w:hAnsi="Arial"/>
                <w:b/>
                <w:sz w:val="20"/>
              </w:rPr>
            </w:pPr>
            <w:r w:rsidRPr="007D1220">
              <w:rPr>
                <w:rFonts w:ascii="Arial" w:hAnsi="Arial"/>
                <w:b/>
                <w:sz w:val="20"/>
              </w:rPr>
              <w:t>Опис на нападот</w:t>
            </w:r>
          </w:p>
        </w:tc>
        <w:tc>
          <w:tcPr>
            <w:tcW w:w="3168" w:type="dxa"/>
          </w:tcPr>
          <w:p w:rsidR="00B64074" w:rsidRDefault="00B64074" w:rsidP="00B64074">
            <w:pPr>
              <w:jc w:val="both"/>
              <w:rPr>
                <w:rFonts w:ascii="Arial" w:hAnsi="Arial"/>
                <w:sz w:val="20"/>
              </w:rPr>
            </w:pPr>
            <w:r>
              <w:rPr>
                <w:rFonts w:ascii="Arial" w:hAnsi="Arial"/>
                <w:sz w:val="20"/>
              </w:rPr>
              <w:t>Дата и време на напад</w:t>
            </w:r>
          </w:p>
          <w:p w:rsidR="00B64074" w:rsidRDefault="00B64074" w:rsidP="00B64074">
            <w:pPr>
              <w:jc w:val="both"/>
              <w:rPr>
                <w:rFonts w:ascii="Arial" w:hAnsi="Arial"/>
                <w:sz w:val="20"/>
              </w:rPr>
            </w:pPr>
            <w:r>
              <w:rPr>
                <w:rFonts w:ascii="Arial" w:hAnsi="Arial"/>
                <w:sz w:val="20"/>
              </w:rPr>
              <w:t>Локација на напад</w:t>
            </w:r>
          </w:p>
          <w:p w:rsidR="00B64074" w:rsidRDefault="00B64074" w:rsidP="00B64074">
            <w:pPr>
              <w:jc w:val="both"/>
              <w:rPr>
                <w:rFonts w:ascii="Arial" w:hAnsi="Arial"/>
                <w:sz w:val="20"/>
              </w:rPr>
            </w:pPr>
            <w:r>
              <w:rPr>
                <w:rFonts w:ascii="Arial" w:hAnsi="Arial"/>
                <w:sz w:val="20"/>
              </w:rPr>
              <w:t>Најава за напад (да/не</w:t>
            </w:r>
          </w:p>
          <w:p w:rsidR="00B64074" w:rsidRDefault="00D43706" w:rsidP="00B64074">
            <w:pPr>
              <w:jc w:val="both"/>
              <w:rPr>
                <w:rFonts w:ascii="Arial" w:hAnsi="Arial"/>
                <w:sz w:val="20"/>
              </w:rPr>
            </w:pPr>
            <w:r>
              <w:rPr>
                <w:rFonts w:ascii="Arial" w:hAnsi="Arial"/>
                <w:sz w:val="20"/>
              </w:rPr>
              <w:t>да се опише a</w:t>
            </w:r>
            <w:r w:rsidR="00B64074">
              <w:rPr>
                <w:rFonts w:ascii="Arial" w:hAnsi="Arial"/>
                <w:sz w:val="20"/>
              </w:rPr>
              <w:t xml:space="preserve">ко одговорот </w:t>
            </w:r>
            <w:r>
              <w:rPr>
                <w:rFonts w:ascii="Arial" w:hAnsi="Arial"/>
                <w:sz w:val="20"/>
              </w:rPr>
              <w:t>e „</w:t>
            </w:r>
            <w:r w:rsidR="00B64074">
              <w:rPr>
                <w:rFonts w:ascii="Arial" w:hAnsi="Arial"/>
                <w:sz w:val="20"/>
              </w:rPr>
              <w:t>да</w:t>
            </w:r>
            <w:r>
              <w:rPr>
                <w:rFonts w:ascii="Arial" w:hAnsi="Arial"/>
                <w:sz w:val="20"/>
              </w:rPr>
              <w:t>“</w:t>
            </w:r>
            <w:r w:rsidR="00B64074">
              <w:rPr>
                <w:rFonts w:ascii="Arial" w:hAnsi="Arial"/>
                <w:sz w:val="20"/>
              </w:rPr>
              <w:t>)</w:t>
            </w:r>
          </w:p>
          <w:p w:rsidR="00B64074" w:rsidRDefault="00B64074" w:rsidP="00B64074">
            <w:pPr>
              <w:jc w:val="both"/>
              <w:rPr>
                <w:rFonts w:ascii="Arial" w:hAnsi="Arial"/>
                <w:sz w:val="20"/>
              </w:rPr>
            </w:pPr>
            <w:r>
              <w:rPr>
                <w:rFonts w:ascii="Arial" w:hAnsi="Arial"/>
                <w:sz w:val="20"/>
              </w:rPr>
              <w:t xml:space="preserve">Што го предизивикало </w:t>
            </w:r>
          </w:p>
          <w:p w:rsidR="00B64074" w:rsidRDefault="00B64074" w:rsidP="00B64074">
            <w:pPr>
              <w:jc w:val="both"/>
              <w:rPr>
                <w:rFonts w:ascii="Arial" w:hAnsi="Arial"/>
                <w:sz w:val="20"/>
              </w:rPr>
            </w:pPr>
            <w:r>
              <w:rPr>
                <w:rFonts w:ascii="Arial" w:hAnsi="Arial"/>
                <w:sz w:val="20"/>
              </w:rPr>
              <w:t>нападот, ако е познато</w:t>
            </w:r>
          </w:p>
          <w:p w:rsidR="00B64074" w:rsidRDefault="00B64074" w:rsidP="00B64074">
            <w:pPr>
              <w:jc w:val="both"/>
              <w:rPr>
                <w:rFonts w:ascii="Arial" w:hAnsi="Arial"/>
                <w:sz w:val="20"/>
              </w:rPr>
            </w:pPr>
            <w:r>
              <w:rPr>
                <w:rFonts w:ascii="Arial" w:hAnsi="Arial"/>
                <w:sz w:val="20"/>
              </w:rPr>
              <w:t xml:space="preserve">Сериозност на нападот </w:t>
            </w:r>
          </w:p>
          <w:p w:rsidR="00B64074" w:rsidRDefault="00B64074" w:rsidP="00B64074">
            <w:pPr>
              <w:jc w:val="both"/>
              <w:rPr>
                <w:rFonts w:ascii="Arial" w:hAnsi="Arial"/>
                <w:sz w:val="20"/>
              </w:rPr>
            </w:pPr>
            <w:r>
              <w:rPr>
                <w:rFonts w:ascii="Arial" w:hAnsi="Arial"/>
                <w:sz w:val="20"/>
              </w:rPr>
              <w:t xml:space="preserve">врз основа на влијанието </w:t>
            </w:r>
          </w:p>
          <w:p w:rsidR="00B64074" w:rsidRDefault="00D43706" w:rsidP="004A7F79">
            <w:r>
              <w:rPr>
                <w:rFonts w:ascii="Arial" w:hAnsi="Arial"/>
                <w:sz w:val="20"/>
              </w:rPr>
              <w:t>врз</w:t>
            </w:r>
            <w:r w:rsidR="00B64074">
              <w:rPr>
                <w:rFonts w:ascii="Arial" w:hAnsi="Arial"/>
                <w:sz w:val="20"/>
              </w:rPr>
              <w:t xml:space="preserve"> активностите</w:t>
            </w:r>
          </w:p>
        </w:tc>
      </w:tr>
      <w:tr w:rsidR="00B64074" w:rsidTr="00B64074">
        <w:tc>
          <w:tcPr>
            <w:tcW w:w="1368" w:type="dxa"/>
          </w:tcPr>
          <w:p w:rsidR="00B64074" w:rsidRPr="007D1220" w:rsidRDefault="007D1220">
            <w:pPr>
              <w:rPr>
                <w:rFonts w:ascii="Arial" w:hAnsi="Arial"/>
                <w:b/>
                <w:sz w:val="20"/>
              </w:rPr>
            </w:pPr>
            <w:r w:rsidRPr="007D1220">
              <w:rPr>
                <w:rFonts w:ascii="Arial" w:hAnsi="Arial"/>
                <w:b/>
                <w:sz w:val="20"/>
              </w:rPr>
              <w:t>Третман на нападот</w:t>
            </w:r>
          </w:p>
        </w:tc>
        <w:tc>
          <w:tcPr>
            <w:tcW w:w="3168" w:type="dxa"/>
          </w:tcPr>
          <w:p w:rsidR="00B64074" w:rsidRPr="007D1220" w:rsidRDefault="00B64074" w:rsidP="00B64074">
            <w:pPr>
              <w:jc w:val="both"/>
              <w:rPr>
                <w:rFonts w:ascii="Arial" w:hAnsi="Arial"/>
                <w:sz w:val="20"/>
              </w:rPr>
            </w:pPr>
            <w:r>
              <w:rPr>
                <w:rFonts w:ascii="Arial" w:hAnsi="Arial"/>
                <w:sz w:val="20"/>
              </w:rPr>
              <w:t xml:space="preserve">Дали е </w:t>
            </w:r>
            <w:r w:rsidR="007D1220">
              <w:rPr>
                <w:rFonts w:ascii="Arial" w:hAnsi="Arial"/>
                <w:sz w:val="20"/>
              </w:rPr>
              <w:t>нападот третиран</w:t>
            </w:r>
          </w:p>
          <w:p w:rsidR="00B64074" w:rsidRDefault="00B64074" w:rsidP="00B64074">
            <w:pPr>
              <w:jc w:val="both"/>
              <w:rPr>
                <w:rFonts w:ascii="Arial" w:hAnsi="Arial"/>
                <w:sz w:val="20"/>
              </w:rPr>
            </w:pPr>
            <w:r>
              <w:rPr>
                <w:rFonts w:ascii="Arial" w:hAnsi="Arial"/>
                <w:sz w:val="20"/>
              </w:rPr>
              <w:t>според потреба (да/не; да се изнесат детали</w:t>
            </w:r>
            <w:r w:rsidR="00D43706">
              <w:rPr>
                <w:rFonts w:ascii="Arial" w:hAnsi="Arial"/>
                <w:sz w:val="20"/>
              </w:rPr>
              <w:t xml:space="preserve"> ако одговорот е „да“</w:t>
            </w:r>
            <w:r>
              <w:rPr>
                <w:rFonts w:ascii="Arial" w:hAnsi="Arial"/>
                <w:sz w:val="20"/>
              </w:rPr>
              <w:t xml:space="preserve">) </w:t>
            </w:r>
          </w:p>
          <w:p w:rsidR="00B64074" w:rsidRDefault="00B64074" w:rsidP="00B64074">
            <w:pPr>
              <w:jc w:val="both"/>
              <w:rPr>
                <w:rFonts w:ascii="Arial" w:hAnsi="Arial"/>
                <w:sz w:val="20"/>
              </w:rPr>
            </w:pPr>
            <w:r>
              <w:rPr>
                <w:rFonts w:ascii="Arial" w:hAnsi="Arial"/>
                <w:sz w:val="20"/>
              </w:rPr>
              <w:t>Дата и време на                                 третман</w:t>
            </w:r>
          </w:p>
          <w:p w:rsidR="00B64074" w:rsidRDefault="00B64074" w:rsidP="00B64074">
            <w:pPr>
              <w:jc w:val="both"/>
              <w:rPr>
                <w:rFonts w:ascii="Arial" w:hAnsi="Arial"/>
                <w:sz w:val="20"/>
              </w:rPr>
            </w:pPr>
            <w:r>
              <w:rPr>
                <w:rFonts w:ascii="Arial" w:hAnsi="Arial"/>
                <w:sz w:val="20"/>
              </w:rPr>
              <w:t xml:space="preserve">Имало ли некаков </w:t>
            </w:r>
            <w:r w:rsidR="007D1220">
              <w:rPr>
                <w:rFonts w:ascii="Arial" w:hAnsi="Arial"/>
                <w:sz w:val="20"/>
              </w:rPr>
              <w:t xml:space="preserve">проблем или несакан </w:t>
            </w:r>
            <w:r>
              <w:rPr>
                <w:rFonts w:ascii="Arial" w:hAnsi="Arial"/>
                <w:sz w:val="20"/>
              </w:rPr>
              <w:t xml:space="preserve">ефект поврзан со                                  третманот </w:t>
            </w:r>
          </w:p>
          <w:p w:rsidR="00B64074" w:rsidRDefault="00B64074" w:rsidP="00B64074">
            <w:pPr>
              <w:jc w:val="both"/>
              <w:rPr>
                <w:rFonts w:ascii="Arial" w:hAnsi="Arial"/>
                <w:sz w:val="20"/>
              </w:rPr>
            </w:pPr>
            <w:r>
              <w:rPr>
                <w:rFonts w:ascii="Arial" w:hAnsi="Arial"/>
                <w:sz w:val="20"/>
              </w:rPr>
              <w:t xml:space="preserve">Дата и време кога                                  симптомите почнале да </w:t>
            </w:r>
          </w:p>
          <w:p w:rsidR="00B64074" w:rsidRDefault="00B64074" w:rsidP="00B64074">
            <w:pPr>
              <w:jc w:val="both"/>
              <w:rPr>
                <w:rFonts w:ascii="Arial" w:hAnsi="Arial"/>
                <w:sz w:val="20"/>
              </w:rPr>
            </w:pPr>
            <w:r>
              <w:rPr>
                <w:rFonts w:ascii="Arial" w:hAnsi="Arial"/>
                <w:sz w:val="20"/>
              </w:rPr>
              <w:t>се подобруваат</w:t>
            </w:r>
          </w:p>
          <w:p w:rsidR="00B64074" w:rsidRDefault="00B64074" w:rsidP="00B64074">
            <w:pPr>
              <w:jc w:val="both"/>
              <w:rPr>
                <w:rFonts w:ascii="Arial" w:hAnsi="Arial"/>
                <w:sz w:val="20"/>
              </w:rPr>
            </w:pPr>
            <w:r>
              <w:rPr>
                <w:rFonts w:ascii="Arial" w:hAnsi="Arial"/>
                <w:sz w:val="20"/>
              </w:rPr>
              <w:t xml:space="preserve">Дата и време кога                                  симптомите биле целосно </w:t>
            </w:r>
          </w:p>
          <w:p w:rsidR="00B64074" w:rsidRDefault="004A7F79" w:rsidP="00B64074">
            <w:pPr>
              <w:jc w:val="both"/>
              <w:rPr>
                <w:rFonts w:ascii="Arial" w:hAnsi="Arial"/>
                <w:sz w:val="20"/>
              </w:rPr>
            </w:pPr>
            <w:r>
              <w:rPr>
                <w:rFonts w:ascii="Arial" w:hAnsi="Arial"/>
                <w:sz w:val="20"/>
              </w:rPr>
              <w:t>р</w:t>
            </w:r>
            <w:r w:rsidR="00B64074">
              <w:rPr>
                <w:rFonts w:ascii="Arial" w:hAnsi="Arial"/>
                <w:sz w:val="20"/>
              </w:rPr>
              <w:t>ешени</w:t>
            </w:r>
          </w:p>
        </w:tc>
      </w:tr>
      <w:tr w:rsidR="00B64074" w:rsidTr="00B64074">
        <w:tc>
          <w:tcPr>
            <w:tcW w:w="1368" w:type="dxa"/>
          </w:tcPr>
          <w:p w:rsidR="00B64074" w:rsidRPr="007D1220" w:rsidRDefault="00B64074">
            <w:pPr>
              <w:rPr>
                <w:rFonts w:ascii="Arial" w:hAnsi="Arial"/>
                <w:b/>
                <w:sz w:val="20"/>
              </w:rPr>
            </w:pPr>
            <w:r w:rsidRPr="007D1220">
              <w:rPr>
                <w:rFonts w:ascii="Arial" w:hAnsi="Arial"/>
                <w:b/>
                <w:sz w:val="20"/>
              </w:rPr>
              <w:t>Реакција на третманот</w:t>
            </w:r>
          </w:p>
        </w:tc>
        <w:tc>
          <w:tcPr>
            <w:tcW w:w="3168" w:type="dxa"/>
          </w:tcPr>
          <w:p w:rsidR="00B64074" w:rsidRDefault="004A7F79" w:rsidP="00B64074">
            <w:pPr>
              <w:jc w:val="both"/>
              <w:rPr>
                <w:rFonts w:ascii="Arial" w:hAnsi="Arial"/>
                <w:sz w:val="20"/>
              </w:rPr>
            </w:pPr>
            <w:r>
              <w:rPr>
                <w:rFonts w:ascii="Arial" w:hAnsi="Arial"/>
                <w:sz w:val="20"/>
              </w:rPr>
              <w:t>Дали беше контактиран доктор</w:t>
            </w:r>
          </w:p>
          <w:p w:rsidR="004A7F79" w:rsidRDefault="004A7F79" w:rsidP="00B64074">
            <w:pPr>
              <w:jc w:val="both"/>
              <w:rPr>
                <w:rFonts w:ascii="Arial" w:hAnsi="Arial"/>
                <w:sz w:val="20"/>
              </w:rPr>
            </w:pPr>
            <w:r>
              <w:rPr>
                <w:rFonts w:ascii="Arial" w:hAnsi="Arial"/>
                <w:sz w:val="20"/>
              </w:rPr>
              <w:t>Дали имаше потреба од ургентен центар или болнички услуги</w:t>
            </w:r>
          </w:p>
          <w:p w:rsidR="004A7F79" w:rsidRDefault="004A7F79" w:rsidP="00B64074">
            <w:pPr>
              <w:jc w:val="both"/>
              <w:rPr>
                <w:rFonts w:ascii="Arial" w:hAnsi="Arial"/>
                <w:sz w:val="20"/>
              </w:rPr>
            </w:pPr>
            <w:r>
              <w:rPr>
                <w:rFonts w:ascii="Arial" w:hAnsi="Arial"/>
                <w:sz w:val="20"/>
              </w:rPr>
              <w:lastRenderedPageBreak/>
              <w:t>Дали имаше потреба од дополнителна терапија (вклучувајќи втора доза од првичниот лек, лек за болка, антиеметици, течности, итн.)</w:t>
            </w:r>
          </w:p>
        </w:tc>
      </w:tr>
    </w:tbl>
    <w:p w:rsidR="00875948" w:rsidRDefault="00875948"/>
    <w:p w:rsidR="007D1220" w:rsidRDefault="007D1220" w:rsidP="007772F9">
      <w:pPr>
        <w:spacing w:after="0"/>
        <w:jc w:val="both"/>
        <w:rPr>
          <w:rFonts w:ascii="Arial" w:hAnsi="Arial"/>
          <w:sz w:val="20"/>
        </w:rPr>
      </w:pPr>
      <w:r w:rsidRPr="007D1220">
        <w:rPr>
          <w:rFonts w:ascii="Arial" w:hAnsi="Arial"/>
          <w:i/>
          <w:sz w:val="20"/>
        </w:rPr>
        <w:t>4.3 Следење на несаканите медицински ефекти</w:t>
      </w:r>
      <w:r>
        <w:rPr>
          <w:rFonts w:ascii="Arial" w:hAnsi="Arial"/>
          <w:i/>
          <w:sz w:val="20"/>
        </w:rPr>
        <w:t xml:space="preserve">. </w:t>
      </w:r>
      <w:r>
        <w:rPr>
          <w:rFonts w:ascii="Arial" w:hAnsi="Arial"/>
          <w:sz w:val="20"/>
        </w:rPr>
        <w:t xml:space="preserve">Сите </w:t>
      </w:r>
      <w:r w:rsidR="007A6FB1">
        <w:rPr>
          <w:rFonts w:ascii="Arial" w:hAnsi="Arial"/>
          <w:sz w:val="20"/>
        </w:rPr>
        <w:t xml:space="preserve">пациенти кои примаат лекови за ХАЕ, без оглед дали е според потреба или профилактички </w:t>
      </w:r>
      <w:r w:rsidR="007772F9">
        <w:rPr>
          <w:rFonts w:ascii="Arial" w:hAnsi="Arial"/>
          <w:sz w:val="20"/>
        </w:rPr>
        <w:t>треба периодично да се следат</w:t>
      </w:r>
      <w:r w:rsidR="007A6FB1">
        <w:rPr>
          <w:rFonts w:ascii="Arial" w:hAnsi="Arial"/>
          <w:sz w:val="20"/>
        </w:rPr>
        <w:t xml:space="preserve"> поради можни несакани ефекти од лековите. Пациентите што користат анаболички андрогени треба да се проценуваат </w:t>
      </w:r>
      <w:r w:rsidR="00A46301">
        <w:rPr>
          <w:rFonts w:ascii="Arial" w:hAnsi="Arial"/>
          <w:sz w:val="20"/>
        </w:rPr>
        <w:t xml:space="preserve">секои 6 месеци </w:t>
      </w:r>
      <w:r w:rsidR="007772F9">
        <w:rPr>
          <w:rFonts w:ascii="Arial" w:hAnsi="Arial"/>
          <w:sz w:val="20"/>
        </w:rPr>
        <w:t>врз основа на</w:t>
      </w:r>
      <w:r w:rsidR="00A46301">
        <w:rPr>
          <w:rFonts w:ascii="Arial" w:hAnsi="Arial"/>
          <w:sz w:val="20"/>
        </w:rPr>
        <w:t xml:space="preserve"> историјата и физичкиот преглед (особено тежината, крвниот притисок, знаци на вирилизација) и </w:t>
      </w:r>
      <w:r w:rsidR="008C484C">
        <w:rPr>
          <w:rFonts w:ascii="Arial" w:hAnsi="Arial"/>
          <w:sz w:val="20"/>
        </w:rPr>
        <w:t>крната слика</w:t>
      </w:r>
      <w:r w:rsidR="007772F9">
        <w:rPr>
          <w:rFonts w:ascii="Arial" w:hAnsi="Arial"/>
          <w:sz w:val="20"/>
        </w:rPr>
        <w:t>, вклучувајќи ги ензимите на џиг</w:t>
      </w:r>
      <w:r w:rsidR="008C484C">
        <w:rPr>
          <w:rFonts w:ascii="Arial" w:hAnsi="Arial"/>
          <w:sz w:val="20"/>
        </w:rPr>
        <w:t xml:space="preserve">ерот, профилите на липидите, </w:t>
      </w:r>
      <w:r w:rsidR="007772F9">
        <w:rPr>
          <w:rFonts w:ascii="Arial" w:hAnsi="Arial"/>
          <w:sz w:val="20"/>
        </w:rPr>
        <w:t>анализа</w:t>
      </w:r>
      <w:r w:rsidR="008C484C">
        <w:rPr>
          <w:rFonts w:ascii="Arial" w:hAnsi="Arial"/>
          <w:sz w:val="20"/>
        </w:rPr>
        <w:t xml:space="preserve"> на урина</w:t>
      </w:r>
      <w:r w:rsidR="007772F9">
        <w:rPr>
          <w:rFonts w:ascii="Arial" w:hAnsi="Arial"/>
          <w:sz w:val="20"/>
        </w:rPr>
        <w:t xml:space="preserve"> и хепатски ултразвук </w:t>
      </w:r>
      <w:r w:rsidR="008C484C">
        <w:rPr>
          <w:rFonts w:ascii="Arial" w:hAnsi="Arial"/>
          <w:sz w:val="20"/>
        </w:rPr>
        <w:t>(ултразвукот треба да се врши</w:t>
      </w:r>
      <w:r w:rsidR="007772F9">
        <w:rPr>
          <w:rFonts w:ascii="Arial" w:hAnsi="Arial"/>
          <w:sz w:val="20"/>
        </w:rPr>
        <w:t xml:space="preserve"> еднаш на 12 месеци доколку дозата на андрогени е </w:t>
      </w:r>
      <w:r w:rsidR="007772F9">
        <w:rPr>
          <w:rFonts w:ascii="Arial" w:hAnsi="Arial"/>
          <w:sz w:val="20"/>
          <w:u w:val="single"/>
        </w:rPr>
        <w:t>&lt;</w:t>
      </w:r>
      <w:r w:rsidR="007772F9" w:rsidRPr="007772F9">
        <w:rPr>
          <w:rFonts w:ascii="Arial" w:hAnsi="Arial"/>
          <w:sz w:val="20"/>
        </w:rPr>
        <w:t xml:space="preserve"> 200</w:t>
      </w:r>
      <w:r w:rsidR="007772F9">
        <w:rPr>
          <w:rFonts w:ascii="Arial" w:hAnsi="Arial"/>
          <w:sz w:val="20"/>
        </w:rPr>
        <w:t>mg/d еквивалент</w:t>
      </w:r>
      <w:r w:rsidR="008C484C">
        <w:rPr>
          <w:rFonts w:ascii="Arial" w:hAnsi="Arial"/>
          <w:sz w:val="20"/>
        </w:rPr>
        <w:t>но</w:t>
      </w:r>
      <w:r w:rsidR="007772F9">
        <w:rPr>
          <w:rFonts w:ascii="Arial" w:hAnsi="Arial"/>
          <w:sz w:val="20"/>
        </w:rPr>
        <w:t xml:space="preserve"> на даназол). </w:t>
      </w:r>
      <w:r w:rsidR="007772F9">
        <w:rPr>
          <w:rFonts w:ascii="Arial" w:hAnsi="Arial"/>
          <w:sz w:val="20"/>
          <w:vertAlign w:val="superscript"/>
        </w:rPr>
        <w:t xml:space="preserve">13 14 16 </w:t>
      </w:r>
      <w:r w:rsidR="007772F9" w:rsidRPr="007772F9">
        <w:rPr>
          <w:rFonts w:ascii="Arial" w:hAnsi="Arial"/>
          <w:sz w:val="20"/>
          <w:vertAlign w:val="superscript"/>
        </w:rPr>
        <w:t>17</w:t>
      </w:r>
      <w:r w:rsidR="00A46301">
        <w:rPr>
          <w:rFonts w:ascii="Arial" w:hAnsi="Arial"/>
          <w:sz w:val="20"/>
        </w:rPr>
        <w:t xml:space="preserve"> </w:t>
      </w:r>
    </w:p>
    <w:p w:rsidR="007772F9" w:rsidRDefault="007772F9" w:rsidP="007772F9">
      <w:pPr>
        <w:spacing w:after="0"/>
        <w:jc w:val="both"/>
        <w:rPr>
          <w:rFonts w:ascii="Arial" w:hAnsi="Arial"/>
          <w:sz w:val="20"/>
        </w:rPr>
      </w:pPr>
      <w:r>
        <w:rPr>
          <w:rFonts w:ascii="Arial" w:hAnsi="Arial"/>
          <w:sz w:val="20"/>
        </w:rPr>
        <w:t>Иако не е стандарден третман за ХАЕ во Соединетите Американски Држави</w:t>
      </w:r>
      <w:r w:rsidR="008C484C">
        <w:rPr>
          <w:rFonts w:ascii="Arial" w:hAnsi="Arial"/>
          <w:sz w:val="20"/>
        </w:rPr>
        <w:t>,</w:t>
      </w:r>
      <w:r>
        <w:rPr>
          <w:rFonts w:ascii="Arial" w:hAnsi="Arial"/>
          <w:sz w:val="20"/>
        </w:rPr>
        <w:t xml:space="preserve"> докт</w:t>
      </w:r>
      <w:r w:rsidR="008C484C">
        <w:rPr>
          <w:rFonts w:ascii="Arial" w:hAnsi="Arial"/>
          <w:sz w:val="20"/>
        </w:rPr>
        <w:t xml:space="preserve">орите треба да знаат за следење на </w:t>
      </w:r>
      <w:r>
        <w:rPr>
          <w:rFonts w:ascii="Arial" w:hAnsi="Arial"/>
          <w:sz w:val="20"/>
        </w:rPr>
        <w:t>терапија</w:t>
      </w:r>
      <w:r w:rsidR="008C484C">
        <w:rPr>
          <w:rFonts w:ascii="Arial" w:hAnsi="Arial"/>
          <w:sz w:val="20"/>
        </w:rPr>
        <w:t xml:space="preserve"> со антифибринолитици</w:t>
      </w:r>
      <w:r>
        <w:rPr>
          <w:rFonts w:ascii="Arial" w:hAnsi="Arial"/>
          <w:sz w:val="20"/>
        </w:rPr>
        <w:t xml:space="preserve">. На пациентите на кои им се препишани антифибринолитици треба да им се провери функцијата на бубрезите и на џигерот, </w:t>
      </w:r>
      <w:r w:rsidR="00C52D29">
        <w:rPr>
          <w:rFonts w:ascii="Arial" w:hAnsi="Arial"/>
          <w:sz w:val="20"/>
        </w:rPr>
        <w:t xml:space="preserve">да им се направи </w:t>
      </w:r>
      <w:r w:rsidR="008C484C">
        <w:rPr>
          <w:rFonts w:ascii="Arial" w:hAnsi="Arial"/>
          <w:sz w:val="20"/>
        </w:rPr>
        <w:t>а</w:t>
      </w:r>
      <w:r>
        <w:rPr>
          <w:rFonts w:ascii="Arial" w:hAnsi="Arial"/>
          <w:sz w:val="20"/>
        </w:rPr>
        <w:t>нализа</w:t>
      </w:r>
      <w:r w:rsidR="008C484C">
        <w:rPr>
          <w:rFonts w:ascii="Arial" w:hAnsi="Arial"/>
          <w:sz w:val="20"/>
        </w:rPr>
        <w:t xml:space="preserve"> на урина</w:t>
      </w:r>
      <w:r>
        <w:rPr>
          <w:rFonts w:ascii="Arial" w:hAnsi="Arial"/>
          <w:sz w:val="20"/>
        </w:rPr>
        <w:t>,</w:t>
      </w:r>
      <w:r w:rsidR="00C52D29">
        <w:rPr>
          <w:rFonts w:ascii="Arial" w:hAnsi="Arial"/>
          <w:sz w:val="20"/>
        </w:rPr>
        <w:t xml:space="preserve"> да им се провери</w:t>
      </w:r>
      <w:r>
        <w:rPr>
          <w:rFonts w:ascii="Arial" w:hAnsi="Arial"/>
          <w:sz w:val="20"/>
        </w:rPr>
        <w:t xml:space="preserve"> </w:t>
      </w:r>
      <w:r w:rsidR="00C72F74">
        <w:rPr>
          <w:rFonts w:ascii="Arial" w:hAnsi="Arial"/>
          <w:sz w:val="20"/>
        </w:rPr>
        <w:t>ниво</w:t>
      </w:r>
      <w:r w:rsidR="00C52D29">
        <w:rPr>
          <w:rFonts w:ascii="Arial" w:hAnsi="Arial"/>
          <w:sz w:val="20"/>
        </w:rPr>
        <w:t>то</w:t>
      </w:r>
      <w:r w:rsidR="00C72F74">
        <w:rPr>
          <w:rFonts w:ascii="Arial" w:hAnsi="Arial"/>
          <w:sz w:val="20"/>
        </w:rPr>
        <w:t xml:space="preserve"> на серум креатин фосфокиназа и тестирање на алдолаза на секои 6 месеци </w:t>
      </w:r>
      <w:r w:rsidR="00C52D29">
        <w:rPr>
          <w:rFonts w:ascii="Arial" w:hAnsi="Arial"/>
          <w:sz w:val="20"/>
        </w:rPr>
        <w:t>и</w:t>
      </w:r>
      <w:r w:rsidR="008C484C">
        <w:rPr>
          <w:rFonts w:ascii="Arial" w:hAnsi="Arial"/>
          <w:sz w:val="20"/>
        </w:rPr>
        <w:t xml:space="preserve"> да се врши</w:t>
      </w:r>
      <w:r w:rsidR="00C52D29">
        <w:rPr>
          <w:rFonts w:ascii="Arial" w:hAnsi="Arial"/>
          <w:sz w:val="20"/>
        </w:rPr>
        <w:t xml:space="preserve"> годишен офталмолошки преглед за да се провери притисокот на очи</w:t>
      </w:r>
      <w:r w:rsidR="00F13A79">
        <w:rPr>
          <w:rFonts w:ascii="Arial" w:hAnsi="Arial"/>
          <w:sz w:val="20"/>
        </w:rPr>
        <w:t>.</w:t>
      </w:r>
      <w:r w:rsidR="00F13A79">
        <w:rPr>
          <w:rFonts w:ascii="Arial" w:hAnsi="Arial"/>
          <w:sz w:val="20"/>
          <w:vertAlign w:val="superscript"/>
        </w:rPr>
        <w:t>13</w:t>
      </w:r>
    </w:p>
    <w:p w:rsidR="00F13A79" w:rsidRDefault="008C484C" w:rsidP="007772F9">
      <w:pPr>
        <w:spacing w:after="0"/>
        <w:jc w:val="both"/>
        <w:rPr>
          <w:rFonts w:ascii="Arial" w:hAnsi="Arial"/>
          <w:sz w:val="20"/>
        </w:rPr>
      </w:pPr>
      <w:r>
        <w:rPr>
          <w:rFonts w:ascii="Arial" w:hAnsi="Arial"/>
          <w:sz w:val="20"/>
        </w:rPr>
        <w:t>Не постојат</w:t>
      </w:r>
      <w:r w:rsidR="00F13A79">
        <w:rPr>
          <w:rFonts w:ascii="Arial" w:hAnsi="Arial"/>
          <w:sz w:val="20"/>
        </w:rPr>
        <w:t xml:space="preserve"> специфични инструкции</w:t>
      </w:r>
      <w:r w:rsidR="00A61296">
        <w:rPr>
          <w:rFonts w:ascii="Arial" w:hAnsi="Arial"/>
          <w:sz w:val="20"/>
        </w:rPr>
        <w:t xml:space="preserve"> </w:t>
      </w:r>
      <w:r w:rsidR="00F13A79">
        <w:rPr>
          <w:rFonts w:ascii="Arial" w:hAnsi="Arial"/>
          <w:sz w:val="20"/>
        </w:rPr>
        <w:t>за следење на други ХАЕ терапии. Потенцијалните негативни ефекти од C1INH што се добива од плазма се минимални, меѓутоа потребни се долгорочни податоци за да се потврдат резултатите од клиничките студии. На пациентите кои користат екалантид треба да им се постави прашање дали развиле  хиперсензитивна реакција  при администрација</w:t>
      </w:r>
      <w:r w:rsidR="00A61296">
        <w:rPr>
          <w:rFonts w:ascii="Arial" w:hAnsi="Arial"/>
          <w:sz w:val="20"/>
        </w:rPr>
        <w:t>та</w:t>
      </w:r>
      <w:r w:rsidR="00F13A79">
        <w:rPr>
          <w:rFonts w:ascii="Arial" w:hAnsi="Arial"/>
          <w:sz w:val="20"/>
        </w:rPr>
        <w:t>.</w:t>
      </w:r>
      <w:r w:rsidR="00D22895">
        <w:rPr>
          <w:rStyle w:val="EndnoteReference"/>
          <w:rFonts w:ascii="Arial" w:hAnsi="Arial"/>
          <w:sz w:val="20"/>
        </w:rPr>
        <w:endnoteReference w:id="34"/>
      </w:r>
      <w:r w:rsidR="00F13A79">
        <w:rPr>
          <w:rFonts w:ascii="Arial" w:hAnsi="Arial"/>
          <w:sz w:val="20"/>
        </w:rPr>
        <w:t xml:space="preserve"> Кај многу пациенти се јавува болка и црвенило при инјектирање икатибант и треба да им се постави прашање дали тоа се има случено.</w:t>
      </w:r>
      <w:r w:rsidR="00F13A79">
        <w:rPr>
          <w:rFonts w:ascii="Arial" w:hAnsi="Arial"/>
          <w:sz w:val="20"/>
          <w:vertAlign w:val="superscript"/>
        </w:rPr>
        <w:t>8</w:t>
      </w:r>
    </w:p>
    <w:p w:rsidR="00F13A79" w:rsidRDefault="00F13A79" w:rsidP="007772F9">
      <w:pPr>
        <w:spacing w:after="0"/>
        <w:jc w:val="both"/>
        <w:rPr>
          <w:rFonts w:ascii="Arial" w:hAnsi="Arial"/>
          <w:sz w:val="20"/>
        </w:rPr>
      </w:pPr>
    </w:p>
    <w:p w:rsidR="00DB1176" w:rsidRDefault="00F13A79" w:rsidP="007772F9">
      <w:pPr>
        <w:spacing w:after="0"/>
        <w:jc w:val="both"/>
        <w:rPr>
          <w:rFonts w:ascii="Arial" w:hAnsi="Arial"/>
          <w:sz w:val="20"/>
        </w:rPr>
      </w:pPr>
      <w:r w:rsidRPr="00A61296">
        <w:rPr>
          <w:rFonts w:ascii="Arial" w:hAnsi="Arial"/>
          <w:i/>
          <w:sz w:val="20"/>
        </w:rPr>
        <w:t>4.4 Постојана едукација на пациенти.</w:t>
      </w:r>
      <w:r>
        <w:rPr>
          <w:rFonts w:ascii="Arial" w:hAnsi="Arial"/>
          <w:sz w:val="20"/>
        </w:rPr>
        <w:t xml:space="preserve"> При редовните посети</w:t>
      </w:r>
      <w:r w:rsidR="00A61296">
        <w:rPr>
          <w:rFonts w:ascii="Arial" w:hAnsi="Arial"/>
          <w:sz w:val="20"/>
        </w:rPr>
        <w:t xml:space="preserve">, се укажува </w:t>
      </w:r>
      <w:r>
        <w:rPr>
          <w:rFonts w:ascii="Arial" w:hAnsi="Arial"/>
          <w:sz w:val="20"/>
        </w:rPr>
        <w:t>важна можност  за подобрување на едукацијата на пациенти, во што е вклучена</w:t>
      </w:r>
      <w:r w:rsidR="00056A26">
        <w:rPr>
          <w:rFonts w:ascii="Arial" w:hAnsi="Arial"/>
          <w:sz w:val="20"/>
        </w:rPr>
        <w:t xml:space="preserve"> дискусија дека природниот тек на ХАЕ не е секогаш предвидлив и дека кај сите пациенти постои ризик од напад на грло, без оглед на историјата. </w:t>
      </w:r>
      <w:r w:rsidR="00056A26">
        <w:rPr>
          <w:rFonts w:ascii="Arial" w:hAnsi="Arial"/>
          <w:sz w:val="20"/>
          <w:vertAlign w:val="superscript"/>
        </w:rPr>
        <w:t xml:space="preserve">12, </w:t>
      </w:r>
      <w:r w:rsidR="00D22895">
        <w:rPr>
          <w:rStyle w:val="EndnoteReference"/>
          <w:rFonts w:ascii="Arial" w:hAnsi="Arial"/>
          <w:sz w:val="20"/>
        </w:rPr>
        <w:endnoteReference w:id="35"/>
      </w:r>
      <w:r w:rsidR="00056A26">
        <w:rPr>
          <w:rFonts w:ascii="Arial" w:hAnsi="Arial"/>
          <w:sz w:val="20"/>
        </w:rPr>
        <w:t xml:space="preserve"> Треба да се развие „Акционен план за третман“ при првичните посети и да се прегледува при секоја редовна посета. </w:t>
      </w:r>
      <w:r w:rsidR="00DB1176">
        <w:rPr>
          <w:rFonts w:ascii="Arial" w:hAnsi="Arial"/>
          <w:sz w:val="20"/>
        </w:rPr>
        <w:t>Во специфичните мерки кои треба да се проценат се вбројуваат опции за третман, како пациентите ќе имаат подготвен пристап до нивните лекови, каков ќе биде текот на процедурата доколку од лекот не настапи подобрување и ка</w:t>
      </w:r>
      <w:r w:rsidR="00A61296">
        <w:rPr>
          <w:rFonts w:ascii="Arial" w:hAnsi="Arial"/>
          <w:sz w:val="20"/>
        </w:rPr>
        <w:t>ко при нападот да се пристапи до медицински</w:t>
      </w:r>
      <w:r w:rsidR="00DB1176">
        <w:rPr>
          <w:rFonts w:ascii="Arial" w:hAnsi="Arial"/>
          <w:sz w:val="20"/>
        </w:rPr>
        <w:t xml:space="preserve"> персонал кој е за</w:t>
      </w:r>
      <w:r w:rsidR="00A61296">
        <w:rPr>
          <w:rFonts w:ascii="Arial" w:hAnsi="Arial"/>
          <w:sz w:val="20"/>
        </w:rPr>
        <w:t>познаен со ХАЕ</w:t>
      </w:r>
      <w:r w:rsidR="00DB1176">
        <w:rPr>
          <w:rFonts w:ascii="Arial" w:hAnsi="Arial"/>
          <w:sz w:val="20"/>
        </w:rPr>
        <w:t>.</w:t>
      </w:r>
      <w:r w:rsidR="00D22895">
        <w:rPr>
          <w:rStyle w:val="EndnoteReference"/>
          <w:rFonts w:ascii="Arial" w:hAnsi="Arial"/>
          <w:sz w:val="20"/>
        </w:rPr>
        <w:endnoteReference w:id="36"/>
      </w:r>
    </w:p>
    <w:p w:rsidR="00F13A79" w:rsidRDefault="00DB1176" w:rsidP="007772F9">
      <w:pPr>
        <w:spacing w:after="0"/>
        <w:jc w:val="both"/>
        <w:rPr>
          <w:rFonts w:ascii="Arial" w:hAnsi="Arial"/>
          <w:sz w:val="20"/>
        </w:rPr>
      </w:pPr>
      <w:r>
        <w:rPr>
          <w:rFonts w:ascii="Arial" w:hAnsi="Arial"/>
          <w:sz w:val="20"/>
        </w:rPr>
        <w:t xml:space="preserve">Понатаму, пациентите треба да се потсетат дека може да добијат напад и покрај земањето профилактички лекови и мора да се подготвени да го третираат. МСО препорачува при посетата на пациентите да се разгледаат потенцијалните провокатори на ХАЕ. Во ова е вклучен ажуриран список од тековни лекови за да се обезбеди пациентите да не земаат инхибитор на ангиотензин конвертирачки ензим или замена за естроген. </w:t>
      </w:r>
    </w:p>
    <w:p w:rsidR="001B78C2" w:rsidRDefault="00DB1176" w:rsidP="007772F9">
      <w:pPr>
        <w:spacing w:after="0"/>
        <w:jc w:val="both"/>
        <w:rPr>
          <w:rFonts w:ascii="Arial" w:hAnsi="Arial"/>
          <w:sz w:val="20"/>
        </w:rPr>
      </w:pPr>
      <w:r>
        <w:rPr>
          <w:rFonts w:ascii="Arial" w:hAnsi="Arial"/>
          <w:sz w:val="20"/>
        </w:rPr>
        <w:t xml:space="preserve">При повторното информирање на пациентите треба да се потврди дека </w:t>
      </w:r>
      <w:r w:rsidR="00A61296">
        <w:rPr>
          <w:rFonts w:ascii="Arial" w:hAnsi="Arial"/>
          <w:sz w:val="20"/>
        </w:rPr>
        <w:t>ист</w:t>
      </w:r>
      <w:r>
        <w:rPr>
          <w:rFonts w:ascii="Arial" w:hAnsi="Arial"/>
          <w:sz w:val="20"/>
        </w:rPr>
        <w:t>ите се свесни дека хируршките процедури и некои инвазивни стоматолошки зафати може да предизвикаат напади и дека во тој случај е индицирана краткотрајна профилакса. Бидејќи инфекциите</w:t>
      </w:r>
      <w:r w:rsidR="00A61296">
        <w:rPr>
          <w:rFonts w:ascii="Arial" w:hAnsi="Arial"/>
          <w:sz w:val="20"/>
        </w:rPr>
        <w:t xml:space="preserve"> во некои случаи</w:t>
      </w:r>
      <w:r>
        <w:rPr>
          <w:rFonts w:ascii="Arial" w:hAnsi="Arial"/>
          <w:sz w:val="20"/>
        </w:rPr>
        <w:t xml:space="preserve"> може да предизвикаат ХАЕ </w:t>
      </w:r>
      <w:r w:rsidR="00A61296">
        <w:rPr>
          <w:rFonts w:ascii="Arial" w:hAnsi="Arial"/>
          <w:sz w:val="20"/>
        </w:rPr>
        <w:t>напади</w:t>
      </w:r>
      <w:r w:rsidR="006838A4">
        <w:rPr>
          <w:rFonts w:ascii="Arial" w:hAnsi="Arial"/>
          <w:sz w:val="20"/>
        </w:rPr>
        <w:t>, пациентите треба да ја примаат годишната вакцина против грип.</w:t>
      </w:r>
      <w:r w:rsidR="006838A4">
        <w:rPr>
          <w:rFonts w:ascii="Arial" w:hAnsi="Arial"/>
          <w:sz w:val="20"/>
          <w:vertAlign w:val="superscript"/>
        </w:rPr>
        <w:t>14</w:t>
      </w:r>
      <w:r w:rsidR="00A61296">
        <w:rPr>
          <w:rFonts w:ascii="Arial" w:hAnsi="Arial"/>
          <w:sz w:val="20"/>
        </w:rPr>
        <w:t xml:space="preserve"> Со оглед на тоа што</w:t>
      </w:r>
      <w:r w:rsidR="006838A4">
        <w:rPr>
          <w:rFonts w:ascii="Arial" w:hAnsi="Arial"/>
          <w:sz w:val="20"/>
        </w:rPr>
        <w:t xml:space="preserve"> инвазивен стоматолошки зафат може да предизвика ил</w:t>
      </w:r>
      <w:r w:rsidR="008B584C">
        <w:rPr>
          <w:rFonts w:ascii="Arial" w:hAnsi="Arial"/>
          <w:sz w:val="20"/>
        </w:rPr>
        <w:t>и да го забрза нападот на ХАЕ, со</w:t>
      </w:r>
      <w:r w:rsidR="006838A4">
        <w:rPr>
          <w:rFonts w:ascii="Arial" w:hAnsi="Arial"/>
          <w:sz w:val="20"/>
        </w:rPr>
        <w:t xml:space="preserve"> добра дентална нега</w:t>
      </w:r>
      <w:r w:rsidR="00E33661">
        <w:rPr>
          <w:rFonts w:ascii="Arial" w:hAnsi="Arial"/>
          <w:sz w:val="20"/>
        </w:rPr>
        <w:t xml:space="preserve"> </w:t>
      </w:r>
      <w:r w:rsidR="006838A4">
        <w:rPr>
          <w:rFonts w:ascii="Arial" w:hAnsi="Arial"/>
          <w:sz w:val="20"/>
        </w:rPr>
        <w:t xml:space="preserve"> </w:t>
      </w:r>
      <w:r w:rsidR="008B584C">
        <w:rPr>
          <w:rFonts w:ascii="Arial" w:hAnsi="Arial"/>
          <w:sz w:val="20"/>
        </w:rPr>
        <w:t>може да се спречи потребата од вакви процедури или ќе ги спречи инфекциите на ушната шуплина. Пред инвазивен стоматолошки или хируршки зафат</w:t>
      </w:r>
      <w:r w:rsidR="00A61296">
        <w:rPr>
          <w:rFonts w:ascii="Arial" w:hAnsi="Arial"/>
          <w:sz w:val="20"/>
        </w:rPr>
        <w:t>,</w:t>
      </w:r>
      <w:r w:rsidR="00413810">
        <w:rPr>
          <w:rFonts w:ascii="Arial" w:hAnsi="Arial"/>
          <w:sz w:val="20"/>
        </w:rPr>
        <w:t xml:space="preserve"> ХАЕ експертот треба да стапи во контакт со стоматологот или</w:t>
      </w:r>
      <w:r w:rsidR="00A61296">
        <w:rPr>
          <w:rFonts w:ascii="Arial" w:hAnsi="Arial"/>
          <w:sz w:val="20"/>
        </w:rPr>
        <w:t xml:space="preserve"> со</w:t>
      </w:r>
      <w:r w:rsidR="00413810">
        <w:rPr>
          <w:rFonts w:ascii="Arial" w:hAnsi="Arial"/>
          <w:sz w:val="20"/>
        </w:rPr>
        <w:t xml:space="preserve"> хирургот за да се решат прашањата во врска со ХАЕ и управувањето со него, што вклучува </w:t>
      </w:r>
      <w:r w:rsidR="00413810">
        <w:rPr>
          <w:rFonts w:ascii="Arial" w:hAnsi="Arial"/>
          <w:sz w:val="20"/>
        </w:rPr>
        <w:lastRenderedPageBreak/>
        <w:t xml:space="preserve">потенцијална краткотрајна профилакса и администрација на </w:t>
      </w:r>
      <w:r w:rsidR="00413810" w:rsidRPr="00A61296">
        <w:rPr>
          <w:rFonts w:ascii="Arial" w:hAnsi="Arial"/>
          <w:i/>
          <w:sz w:val="20"/>
        </w:rPr>
        <w:t xml:space="preserve">терапија според потреба </w:t>
      </w:r>
      <w:r w:rsidR="00413810">
        <w:rPr>
          <w:rFonts w:ascii="Arial" w:hAnsi="Arial"/>
          <w:sz w:val="20"/>
        </w:rPr>
        <w:t xml:space="preserve">во случај на влошување на симптомите на ХАЕ. МСО исто така препорачува </w:t>
      </w:r>
      <w:r w:rsidR="00B52485">
        <w:rPr>
          <w:rFonts w:ascii="Arial" w:hAnsi="Arial"/>
          <w:sz w:val="20"/>
        </w:rPr>
        <w:t xml:space="preserve">пациентите при рака да имаат најмалку 2 дози од </w:t>
      </w:r>
      <w:r w:rsidR="00B52485" w:rsidRPr="00A61296">
        <w:rPr>
          <w:rFonts w:ascii="Arial" w:hAnsi="Arial"/>
          <w:i/>
          <w:sz w:val="20"/>
        </w:rPr>
        <w:t>терапија</w:t>
      </w:r>
      <w:r w:rsidR="00A61296" w:rsidRPr="00A61296">
        <w:rPr>
          <w:rFonts w:ascii="Arial" w:hAnsi="Arial"/>
          <w:i/>
          <w:sz w:val="20"/>
        </w:rPr>
        <w:t>та</w:t>
      </w:r>
      <w:r w:rsidR="00B52485" w:rsidRPr="00A61296">
        <w:rPr>
          <w:rFonts w:ascii="Arial" w:hAnsi="Arial"/>
          <w:i/>
          <w:sz w:val="20"/>
        </w:rPr>
        <w:t xml:space="preserve"> според потреб</w:t>
      </w:r>
      <w:r w:rsidR="00A61296">
        <w:rPr>
          <w:rFonts w:ascii="Arial" w:hAnsi="Arial"/>
          <w:i/>
          <w:sz w:val="20"/>
        </w:rPr>
        <w:t>а</w:t>
      </w:r>
      <w:r w:rsidR="00A61296">
        <w:rPr>
          <w:rFonts w:ascii="Arial" w:hAnsi="Arial"/>
          <w:sz w:val="20"/>
        </w:rPr>
        <w:t>. Мора да се внимава на</w:t>
      </w:r>
      <w:r w:rsidR="00B52485">
        <w:rPr>
          <w:rFonts w:ascii="Arial" w:hAnsi="Arial"/>
          <w:sz w:val="20"/>
        </w:rPr>
        <w:t xml:space="preserve"> рокот на траење на тие лекови. Докторите исто така мора да </w:t>
      </w:r>
      <w:r w:rsidR="00A61296">
        <w:rPr>
          <w:rFonts w:ascii="Arial" w:hAnsi="Arial"/>
          <w:sz w:val="20"/>
        </w:rPr>
        <w:t>се</w:t>
      </w:r>
      <w:r w:rsidR="00B52485">
        <w:rPr>
          <w:rFonts w:ascii="Arial" w:hAnsi="Arial"/>
          <w:sz w:val="20"/>
        </w:rPr>
        <w:t xml:space="preserve"> информирани доколку има промена во осигурувањето</w:t>
      </w:r>
      <w:r w:rsidR="00A61296">
        <w:rPr>
          <w:rFonts w:ascii="Arial" w:hAnsi="Arial"/>
          <w:sz w:val="20"/>
        </w:rPr>
        <w:t>,</w:t>
      </w:r>
      <w:r w:rsidR="00B52485">
        <w:rPr>
          <w:rFonts w:ascii="Arial" w:hAnsi="Arial"/>
          <w:sz w:val="20"/>
        </w:rPr>
        <w:t xml:space="preserve"> што може да влијае врз издавањето лек. Бидејќи многу пациенти може сами да си администрираат лек, докторите треба да утврдат дали имало проблеми при администрација</w:t>
      </w:r>
      <w:r w:rsidR="00A61296">
        <w:rPr>
          <w:rFonts w:ascii="Arial" w:hAnsi="Arial"/>
          <w:sz w:val="20"/>
        </w:rPr>
        <w:t>та</w:t>
      </w:r>
      <w:r w:rsidR="00B52485">
        <w:rPr>
          <w:rFonts w:ascii="Arial" w:hAnsi="Arial"/>
          <w:sz w:val="20"/>
        </w:rPr>
        <w:t xml:space="preserve">. На редовните посети се нуди можност </w:t>
      </w:r>
      <w:r w:rsidR="00A61296">
        <w:rPr>
          <w:rFonts w:ascii="Arial" w:hAnsi="Arial"/>
          <w:sz w:val="20"/>
        </w:rPr>
        <w:t>за повторна обука и</w:t>
      </w:r>
      <w:r w:rsidR="00B52485">
        <w:rPr>
          <w:rFonts w:ascii="Arial" w:hAnsi="Arial"/>
          <w:sz w:val="20"/>
        </w:rPr>
        <w:t xml:space="preserve"> утврд</w:t>
      </w:r>
      <w:r w:rsidR="00A61296">
        <w:rPr>
          <w:rFonts w:ascii="Arial" w:hAnsi="Arial"/>
          <w:sz w:val="20"/>
        </w:rPr>
        <w:t>ување</w:t>
      </w:r>
      <w:r w:rsidR="00B52485">
        <w:rPr>
          <w:rFonts w:ascii="Arial" w:hAnsi="Arial"/>
          <w:sz w:val="20"/>
        </w:rPr>
        <w:t xml:space="preserve"> дека другите членови на семејството или пријатели може да г</w:t>
      </w:r>
      <w:r w:rsidR="00A61296">
        <w:rPr>
          <w:rFonts w:ascii="Arial" w:hAnsi="Arial"/>
          <w:sz w:val="20"/>
        </w:rPr>
        <w:t>о администрираат лекот во случаи</w:t>
      </w:r>
      <w:r w:rsidR="00B52485">
        <w:rPr>
          <w:rFonts w:ascii="Arial" w:hAnsi="Arial"/>
          <w:sz w:val="20"/>
        </w:rPr>
        <w:t xml:space="preserve"> </w:t>
      </w:r>
      <w:r w:rsidR="00A61296">
        <w:rPr>
          <w:rFonts w:ascii="Arial" w:hAnsi="Arial"/>
          <w:sz w:val="20"/>
        </w:rPr>
        <w:t xml:space="preserve">кога </w:t>
      </w:r>
      <w:r w:rsidR="00B52485">
        <w:rPr>
          <w:rFonts w:ascii="Arial" w:hAnsi="Arial"/>
          <w:sz w:val="20"/>
        </w:rPr>
        <w:t>пациентот не е во можност да го направи тоа. За пациентите кои примаат лек од службата за домашна нега или во локалниот центар за инфузија, при редовните посети треба да се дискутира за секакви проблеми во врска со овие третмани. Треба да се прегледа управувањето со ХАЕ за време на патување. Во специфичните мерки што треба да се дискутираат треба да се вклучи превоз на ургентните лекови на авион и складирање во хотели или други дестинации за патување. Како дополнение на тоа, може да е корисно</w:t>
      </w:r>
      <w:r w:rsidR="00B519C5">
        <w:rPr>
          <w:rFonts w:ascii="Arial" w:hAnsi="Arial"/>
          <w:sz w:val="20"/>
        </w:rPr>
        <w:t xml:space="preserve"> </w:t>
      </w:r>
      <w:r w:rsidR="00D27197">
        <w:rPr>
          <w:rFonts w:ascii="Arial" w:hAnsi="Arial"/>
          <w:sz w:val="20"/>
        </w:rPr>
        <w:t>на дестинацијата каде пациентот треба да патува примарниот ХАЕ доктор да координира локација за згрижување на пациентот (доколку е</w:t>
      </w:r>
      <w:r w:rsidR="00A61296">
        <w:rPr>
          <w:rFonts w:ascii="Arial" w:hAnsi="Arial"/>
          <w:sz w:val="20"/>
        </w:rPr>
        <w:t xml:space="preserve"> тоа</w:t>
      </w:r>
      <w:r w:rsidR="00D27197">
        <w:rPr>
          <w:rFonts w:ascii="Arial" w:hAnsi="Arial"/>
          <w:sz w:val="20"/>
        </w:rPr>
        <w:t xml:space="preserve"> можно).  Тоа место може да е друга здравствена служба што е запознаена со управувањето со ХАЕ, ургентен центар или центар за инфузија. За пациентите кои добиваат профилактички третман со C1INH, а кои не можат сами да си администрираат, треба да се договори администрирање на лек пред патувањето, и/или може да треба да се регулира времето на профилактичкиот третман. На редовните посети особено за децата со ХАЕ треба да се обезбеди </w:t>
      </w:r>
      <w:r w:rsidR="001B78C2">
        <w:rPr>
          <w:rFonts w:ascii="Arial" w:hAnsi="Arial"/>
          <w:sz w:val="20"/>
        </w:rPr>
        <w:t>училиштето на детето да е информирано за ХАЕ и да се достави писмена информација каде јасн</w:t>
      </w:r>
      <w:r w:rsidR="00A61296">
        <w:rPr>
          <w:rFonts w:ascii="Arial" w:hAnsi="Arial"/>
          <w:sz w:val="20"/>
        </w:rPr>
        <w:t>о се</w:t>
      </w:r>
      <w:r w:rsidR="001B78C2">
        <w:rPr>
          <w:rFonts w:ascii="Arial" w:hAnsi="Arial"/>
          <w:sz w:val="20"/>
        </w:rPr>
        <w:t xml:space="preserve"> објаснува болеста.</w:t>
      </w:r>
      <w:r w:rsidR="00740C2A">
        <w:rPr>
          <w:rStyle w:val="EndnoteReference"/>
          <w:rFonts w:ascii="Arial" w:hAnsi="Arial"/>
          <w:sz w:val="20"/>
        </w:rPr>
        <w:endnoteReference w:id="37"/>
      </w:r>
      <w:r w:rsidR="001B78C2">
        <w:rPr>
          <w:rFonts w:ascii="Arial" w:hAnsi="Arial"/>
          <w:sz w:val="20"/>
        </w:rPr>
        <w:t xml:space="preserve"> Од клучна важност е училиштето да знае како да започне „план за </w:t>
      </w:r>
      <w:r w:rsidR="001B78C2">
        <w:rPr>
          <w:rFonts w:ascii="Arial" w:hAnsi="Arial"/>
          <w:sz w:val="20"/>
        </w:rPr>
        <w:lastRenderedPageBreak/>
        <w:t>ургентна состојба“</w:t>
      </w:r>
      <w:r w:rsidR="00D27197">
        <w:rPr>
          <w:rFonts w:ascii="Arial" w:hAnsi="Arial"/>
          <w:sz w:val="20"/>
        </w:rPr>
        <w:t xml:space="preserve"> </w:t>
      </w:r>
      <w:r w:rsidR="001B78C2">
        <w:rPr>
          <w:rFonts w:ascii="Arial" w:hAnsi="Arial"/>
          <w:sz w:val="20"/>
        </w:rPr>
        <w:t xml:space="preserve">доколку детето добие напад. Во некои случаи, може да не е можно медицинскиот персонал во училиштето да го администрира интравенскиот лек, па затоа треба да се развие </w:t>
      </w:r>
      <w:r w:rsidR="001B78C2">
        <w:rPr>
          <w:rFonts w:ascii="Arial" w:hAnsi="Arial"/>
          <w:i/>
          <w:sz w:val="20"/>
        </w:rPr>
        <w:t>a priori</w:t>
      </w:r>
      <w:r w:rsidR="001B78C2">
        <w:rPr>
          <w:rFonts w:ascii="Arial" w:hAnsi="Arial"/>
          <w:sz w:val="20"/>
        </w:rPr>
        <w:t xml:space="preserve"> план како да се дадат лековите.</w:t>
      </w:r>
    </w:p>
    <w:p w:rsidR="001B78C2" w:rsidRDefault="001B78C2" w:rsidP="007772F9">
      <w:pPr>
        <w:spacing w:after="0"/>
        <w:jc w:val="both"/>
        <w:rPr>
          <w:rFonts w:ascii="Arial" w:hAnsi="Arial"/>
          <w:sz w:val="20"/>
        </w:rPr>
      </w:pPr>
    </w:p>
    <w:p w:rsidR="00DB1176" w:rsidRDefault="001B78C2" w:rsidP="007772F9">
      <w:pPr>
        <w:spacing w:after="0"/>
        <w:jc w:val="both"/>
        <w:rPr>
          <w:rFonts w:ascii="Arial" w:hAnsi="Arial"/>
          <w:sz w:val="20"/>
        </w:rPr>
      </w:pPr>
      <w:r>
        <w:rPr>
          <w:rFonts w:ascii="Arial" w:hAnsi="Arial"/>
          <w:i/>
          <w:sz w:val="20"/>
        </w:rPr>
        <w:t>4.5. Тајмирање на редовните посети</w:t>
      </w:r>
      <w:r>
        <w:rPr>
          <w:rFonts w:ascii="Arial" w:hAnsi="Arial"/>
          <w:sz w:val="20"/>
        </w:rPr>
        <w:t xml:space="preserve">. </w:t>
      </w:r>
      <w:r w:rsidR="00BE0291">
        <w:rPr>
          <w:rFonts w:ascii="Arial" w:hAnsi="Arial"/>
          <w:sz w:val="20"/>
        </w:rPr>
        <w:t>П</w:t>
      </w:r>
      <w:r>
        <w:rPr>
          <w:rFonts w:ascii="Arial" w:hAnsi="Arial"/>
          <w:sz w:val="20"/>
        </w:rPr>
        <w:t>отребата од редовни посети на клиниката</w:t>
      </w:r>
      <w:r w:rsidR="00BE0291">
        <w:rPr>
          <w:rFonts w:ascii="Arial" w:hAnsi="Arial"/>
          <w:sz w:val="20"/>
        </w:rPr>
        <w:t xml:space="preserve"> варира и</w:t>
      </w:r>
      <w:r>
        <w:rPr>
          <w:rFonts w:ascii="Arial" w:hAnsi="Arial"/>
          <w:sz w:val="20"/>
        </w:rPr>
        <w:t xml:space="preserve"> зависи од неколку фактори кои се специфични за пациентот, вклу</w:t>
      </w:r>
      <w:r w:rsidR="00BE0291">
        <w:rPr>
          <w:rFonts w:ascii="Arial" w:hAnsi="Arial"/>
          <w:sz w:val="20"/>
        </w:rPr>
        <w:t>чувајќи ја сериозноста на болест</w:t>
      </w:r>
      <w:r>
        <w:rPr>
          <w:rFonts w:ascii="Arial" w:hAnsi="Arial"/>
          <w:sz w:val="20"/>
        </w:rPr>
        <w:t>а, типот терапија што се користи, реакција на терапијата и пристапот на пациентот до клиника. За пациентите кои се добро контролирани, повторни посети може да се случат на секои 6-12 месеци.</w:t>
      </w:r>
      <w:r>
        <w:rPr>
          <w:rFonts w:ascii="Arial" w:hAnsi="Arial"/>
          <w:sz w:val="20"/>
          <w:vertAlign w:val="superscript"/>
        </w:rPr>
        <w:t xml:space="preserve">14,16,17 </w:t>
      </w:r>
      <w:r w:rsidR="00BE0291">
        <w:rPr>
          <w:rFonts w:ascii="Arial" w:hAnsi="Arial"/>
          <w:sz w:val="20"/>
        </w:rPr>
        <w:t>Кога</w:t>
      </w:r>
      <w:r>
        <w:rPr>
          <w:rFonts w:ascii="Arial" w:hAnsi="Arial"/>
          <w:sz w:val="20"/>
        </w:rPr>
        <w:t xml:space="preserve"> започн</w:t>
      </w:r>
      <w:r w:rsidR="00BE0291">
        <w:rPr>
          <w:rFonts w:ascii="Arial" w:hAnsi="Arial"/>
          <w:sz w:val="20"/>
        </w:rPr>
        <w:t>ува</w:t>
      </w:r>
      <w:r>
        <w:rPr>
          <w:rFonts w:ascii="Arial" w:hAnsi="Arial"/>
          <w:sz w:val="20"/>
        </w:rPr>
        <w:t xml:space="preserve"> третманот  за акутни напади или за долгорочна профилакса, или кога ќе се промени дозата, треба</w:t>
      </w:r>
      <w:r w:rsidR="00BE0291">
        <w:rPr>
          <w:rFonts w:ascii="Arial" w:hAnsi="Arial"/>
          <w:sz w:val="20"/>
        </w:rPr>
        <w:t xml:space="preserve"> да постои комуникација</w:t>
      </w:r>
      <w:r>
        <w:rPr>
          <w:rFonts w:ascii="Arial" w:hAnsi="Arial"/>
          <w:sz w:val="20"/>
        </w:rPr>
        <w:t xml:space="preserve"> меѓу докторот и пациентот првите 4 месеци или додека не стане јасно дека е постигната адекватна контрола. </w:t>
      </w:r>
    </w:p>
    <w:p w:rsidR="009D3545" w:rsidRDefault="009D3545" w:rsidP="007772F9">
      <w:pPr>
        <w:spacing w:after="0"/>
        <w:jc w:val="both"/>
        <w:rPr>
          <w:rFonts w:ascii="Arial" w:hAnsi="Arial"/>
          <w:sz w:val="20"/>
        </w:rPr>
      </w:pPr>
    </w:p>
    <w:p w:rsidR="009D3545" w:rsidRPr="009D3545" w:rsidRDefault="009D3545" w:rsidP="007772F9">
      <w:pPr>
        <w:spacing w:after="0"/>
        <w:jc w:val="both"/>
        <w:rPr>
          <w:rFonts w:ascii="Arial" w:hAnsi="Arial"/>
          <w:sz w:val="20"/>
        </w:rPr>
      </w:pPr>
      <w:r>
        <w:rPr>
          <w:rFonts w:ascii="Arial" w:hAnsi="Arial"/>
          <w:i/>
          <w:sz w:val="20"/>
        </w:rPr>
        <w:t>4.6. Подобрување на квалитетот на живот.</w:t>
      </w:r>
      <w:r>
        <w:rPr>
          <w:rFonts w:ascii="Arial" w:hAnsi="Arial"/>
          <w:sz w:val="20"/>
        </w:rPr>
        <w:t xml:space="preserve"> Непредвидливата природа и сериозност на ангиоедемските напади се поврзани со значителни потешкотии поради болеста</w:t>
      </w:r>
      <w:r w:rsidR="00AA259F">
        <w:rPr>
          <w:rFonts w:ascii="Arial" w:hAnsi="Arial"/>
          <w:sz w:val="20"/>
        </w:rPr>
        <w:t>,</w:t>
      </w:r>
      <w:r w:rsidR="00184626">
        <w:rPr>
          <w:rFonts w:ascii="Arial" w:hAnsi="Arial"/>
          <w:sz w:val="20"/>
        </w:rPr>
        <w:t xml:space="preserve"> што  влијае врз</w:t>
      </w:r>
      <w:r>
        <w:rPr>
          <w:rFonts w:ascii="Arial" w:hAnsi="Arial"/>
          <w:sz w:val="20"/>
        </w:rPr>
        <w:t xml:space="preserve"> квалитетот на животот на  пациенти</w:t>
      </w:r>
      <w:r w:rsidR="00AA259F">
        <w:rPr>
          <w:rFonts w:ascii="Arial" w:hAnsi="Arial"/>
          <w:sz w:val="20"/>
        </w:rPr>
        <w:t>те</w:t>
      </w:r>
      <w:r>
        <w:rPr>
          <w:rFonts w:ascii="Arial" w:hAnsi="Arial"/>
          <w:sz w:val="20"/>
        </w:rPr>
        <w:t>. Обезбе</w:t>
      </w:r>
      <w:r w:rsidR="00AA259F">
        <w:rPr>
          <w:rFonts w:ascii="Arial" w:hAnsi="Arial"/>
          <w:sz w:val="20"/>
        </w:rPr>
        <w:t xml:space="preserve">дување на ефективна </w:t>
      </w:r>
      <w:r w:rsidR="00AA259F" w:rsidRPr="00184626">
        <w:rPr>
          <w:rFonts w:ascii="Arial" w:hAnsi="Arial"/>
          <w:i/>
          <w:sz w:val="20"/>
        </w:rPr>
        <w:t xml:space="preserve">терапија </w:t>
      </w:r>
      <w:r w:rsidRPr="00184626">
        <w:rPr>
          <w:rFonts w:ascii="Arial" w:hAnsi="Arial"/>
          <w:i/>
          <w:sz w:val="20"/>
        </w:rPr>
        <w:t xml:space="preserve"> според потреба</w:t>
      </w:r>
      <w:r>
        <w:rPr>
          <w:rFonts w:ascii="Arial" w:hAnsi="Arial"/>
          <w:sz w:val="20"/>
        </w:rPr>
        <w:t xml:space="preserve"> или </w:t>
      </w:r>
      <w:r w:rsidRPr="00184626">
        <w:rPr>
          <w:rFonts w:ascii="Arial" w:hAnsi="Arial"/>
          <w:i/>
          <w:sz w:val="20"/>
        </w:rPr>
        <w:t xml:space="preserve">профилактичка </w:t>
      </w:r>
      <w:r w:rsidR="00AA259F" w:rsidRPr="00184626">
        <w:rPr>
          <w:rFonts w:ascii="Arial" w:hAnsi="Arial"/>
          <w:i/>
          <w:sz w:val="20"/>
        </w:rPr>
        <w:t>терапија</w:t>
      </w:r>
      <w:r w:rsidR="00AA259F">
        <w:rPr>
          <w:rFonts w:ascii="Arial" w:hAnsi="Arial"/>
          <w:sz w:val="20"/>
        </w:rPr>
        <w:t xml:space="preserve"> </w:t>
      </w:r>
      <w:r>
        <w:rPr>
          <w:rFonts w:ascii="Arial" w:hAnsi="Arial"/>
          <w:sz w:val="20"/>
        </w:rPr>
        <w:t xml:space="preserve">е важен чекор кон подобрување на квалитетот на живот на пациентите со ХАЕ и олеснување на теретот на оваа болест. </w:t>
      </w:r>
    </w:p>
    <w:p w:rsidR="00AA259F" w:rsidRDefault="00AA259F" w:rsidP="00F608AE">
      <w:pPr>
        <w:jc w:val="both"/>
        <w:rPr>
          <w:rFonts w:ascii="Arial" w:hAnsi="Arial" w:cs="Arial"/>
          <w:b/>
          <w:sz w:val="20"/>
        </w:rPr>
      </w:pPr>
    </w:p>
    <w:p w:rsidR="00F608AE" w:rsidRDefault="00AA259F" w:rsidP="00F608AE">
      <w:pPr>
        <w:jc w:val="both"/>
        <w:rPr>
          <w:rFonts w:ascii="Arial" w:hAnsi="Arial" w:cs="Arial"/>
          <w:b/>
          <w:sz w:val="20"/>
        </w:rPr>
      </w:pPr>
      <w:r w:rsidRPr="00AA259F">
        <w:rPr>
          <w:rFonts w:ascii="Arial" w:hAnsi="Arial" w:cs="Arial"/>
          <w:b/>
          <w:sz w:val="20"/>
        </w:rPr>
        <w:t>ЗАКЛУЧОК</w:t>
      </w:r>
    </w:p>
    <w:p w:rsidR="00F326BD" w:rsidRDefault="00AA259F" w:rsidP="00184626">
      <w:pPr>
        <w:spacing w:after="0"/>
        <w:jc w:val="both"/>
        <w:rPr>
          <w:rFonts w:ascii="Arial" w:hAnsi="Arial" w:cs="Arial"/>
          <w:sz w:val="20"/>
        </w:rPr>
      </w:pPr>
      <w:r w:rsidRPr="00AA259F">
        <w:rPr>
          <w:rFonts w:ascii="Arial" w:hAnsi="Arial" w:cs="Arial"/>
          <w:sz w:val="20"/>
        </w:rPr>
        <w:tab/>
        <w:t xml:space="preserve">Опциите за третман </w:t>
      </w:r>
      <w:r>
        <w:rPr>
          <w:rFonts w:ascii="Arial" w:hAnsi="Arial" w:cs="Arial"/>
          <w:sz w:val="20"/>
        </w:rPr>
        <w:t>на ХАЕ претрпеа драматична проме</w:t>
      </w:r>
      <w:r w:rsidR="00184626">
        <w:rPr>
          <w:rFonts w:ascii="Arial" w:hAnsi="Arial" w:cs="Arial"/>
          <w:sz w:val="20"/>
        </w:rPr>
        <w:t>на последните 5 години. Сега</w:t>
      </w:r>
      <w:r>
        <w:rPr>
          <w:rFonts w:ascii="Arial" w:hAnsi="Arial" w:cs="Arial"/>
          <w:sz w:val="20"/>
        </w:rPr>
        <w:t xml:space="preserve"> имаме безбедни, специфични и ефективни лекови за </w:t>
      </w:r>
      <w:r w:rsidRPr="00184626">
        <w:rPr>
          <w:rFonts w:ascii="Arial" w:hAnsi="Arial" w:cs="Arial"/>
          <w:i/>
          <w:sz w:val="20"/>
        </w:rPr>
        <w:t>терапија според потреба</w:t>
      </w:r>
      <w:r>
        <w:rPr>
          <w:rFonts w:ascii="Arial" w:hAnsi="Arial" w:cs="Arial"/>
          <w:sz w:val="20"/>
        </w:rPr>
        <w:t xml:space="preserve"> или за </w:t>
      </w:r>
      <w:r w:rsidRPr="00184626">
        <w:rPr>
          <w:rFonts w:ascii="Arial" w:hAnsi="Arial" w:cs="Arial"/>
          <w:i/>
          <w:sz w:val="20"/>
        </w:rPr>
        <w:t>профилакса.</w:t>
      </w:r>
      <w:r>
        <w:rPr>
          <w:rFonts w:ascii="Arial" w:hAnsi="Arial" w:cs="Arial"/>
          <w:sz w:val="20"/>
        </w:rPr>
        <w:t xml:space="preserve"> Иако со ваквиот нов развој мошне се подобрија животите на пациентите со ХАЕ, стана многу покомплексно да се оптимизираат планови за третман</w:t>
      </w:r>
      <w:r w:rsidR="009D5B9D">
        <w:rPr>
          <w:rFonts w:ascii="Arial" w:hAnsi="Arial" w:cs="Arial"/>
          <w:sz w:val="20"/>
        </w:rPr>
        <w:t xml:space="preserve">. Мора да се посвети внимание на прашањата за тоа кои напади да се </w:t>
      </w:r>
      <w:r w:rsidR="009D5B9D">
        <w:rPr>
          <w:rFonts w:ascii="Arial" w:hAnsi="Arial" w:cs="Arial"/>
          <w:sz w:val="20"/>
        </w:rPr>
        <w:lastRenderedPageBreak/>
        <w:t>третираат, кога треба да се третираат, кои лекови да се кори</w:t>
      </w:r>
      <w:r w:rsidR="00184626">
        <w:rPr>
          <w:rFonts w:ascii="Arial" w:hAnsi="Arial" w:cs="Arial"/>
          <w:sz w:val="20"/>
        </w:rPr>
        <w:t>стат и кога да се користи</w:t>
      </w:r>
      <w:r w:rsidR="009D5B9D">
        <w:rPr>
          <w:rFonts w:ascii="Arial" w:hAnsi="Arial" w:cs="Arial"/>
          <w:sz w:val="20"/>
        </w:rPr>
        <w:t xml:space="preserve"> профилактички третман. МСО на ХАЕ од САД препорачува да пробаат да се решат овие и други прашања со употреба на сеопфатен план </w:t>
      </w:r>
      <w:r w:rsidR="00184626">
        <w:rPr>
          <w:rFonts w:ascii="Arial" w:hAnsi="Arial" w:cs="Arial"/>
          <w:sz w:val="20"/>
        </w:rPr>
        <w:t>за управување меѓу експертот</w:t>
      </w:r>
      <w:r w:rsidR="009D5B9D">
        <w:rPr>
          <w:rFonts w:ascii="Arial" w:hAnsi="Arial" w:cs="Arial"/>
          <w:sz w:val="20"/>
        </w:rPr>
        <w:t xml:space="preserve"> доктор</w:t>
      </w:r>
      <w:r w:rsidR="00184626">
        <w:rPr>
          <w:rFonts w:ascii="Arial" w:hAnsi="Arial" w:cs="Arial"/>
          <w:sz w:val="20"/>
        </w:rPr>
        <w:t xml:space="preserve"> за ХАЕ</w:t>
      </w:r>
      <w:r w:rsidR="009D5B9D">
        <w:rPr>
          <w:rFonts w:ascii="Arial" w:hAnsi="Arial" w:cs="Arial"/>
          <w:sz w:val="20"/>
        </w:rPr>
        <w:t xml:space="preserve"> и пациентот, во соработка со локалните медицински служби и ургентните центри. Едукацијата на пациенти и </w:t>
      </w:r>
      <w:r w:rsidR="009D5B9D">
        <w:rPr>
          <w:rFonts w:ascii="Arial" w:hAnsi="Arial" w:cs="Arial"/>
          <w:i/>
          <w:sz w:val="20"/>
        </w:rPr>
        <w:t>a priori</w:t>
      </w:r>
      <w:r w:rsidR="009D5B9D">
        <w:rPr>
          <w:rFonts w:ascii="Arial" w:hAnsi="Arial" w:cs="Arial"/>
          <w:sz w:val="20"/>
        </w:rPr>
        <w:t xml:space="preserve"> планирањето за </w:t>
      </w:r>
      <w:r w:rsidR="00184626">
        <w:rPr>
          <w:rFonts w:ascii="Arial" w:hAnsi="Arial" w:cs="Arial"/>
          <w:sz w:val="20"/>
        </w:rPr>
        <w:t>отстранување на</w:t>
      </w:r>
      <w:r w:rsidR="009D5B9D">
        <w:rPr>
          <w:rFonts w:ascii="Arial" w:hAnsi="Arial" w:cs="Arial"/>
          <w:sz w:val="20"/>
        </w:rPr>
        <w:t xml:space="preserve"> логистичките бариери за третман треба да се одвиваат при првата посета по дијагнозата како и редовно за време на последователните посети за да се утврди напредокот</w:t>
      </w:r>
      <w:r w:rsidR="00F326BD">
        <w:rPr>
          <w:rFonts w:ascii="Arial" w:hAnsi="Arial" w:cs="Arial"/>
          <w:sz w:val="20"/>
        </w:rPr>
        <w:t>. Ефективна комуникација меѓу докторот и пациентот е најважна за препознавање кога ХАЕ не е добро контролирано, поради што планот за управување треба да се промени. Секој пациент е различен и потребен е</w:t>
      </w:r>
      <w:r w:rsidR="00184626">
        <w:rPr>
          <w:rFonts w:ascii="Arial" w:hAnsi="Arial" w:cs="Arial"/>
          <w:sz w:val="20"/>
        </w:rPr>
        <w:t xml:space="preserve"> план за него или за неа</w:t>
      </w:r>
      <w:r w:rsidR="00F326BD">
        <w:rPr>
          <w:rFonts w:ascii="Arial" w:hAnsi="Arial" w:cs="Arial"/>
          <w:sz w:val="20"/>
        </w:rPr>
        <w:t>. Секој пациент треба да очекува добро да му се контролира хередитарниот ангиоедем, за што е потребна промена на планот за управување, со што му се овозможува да живее нормален живот.</w:t>
      </w:r>
    </w:p>
    <w:p w:rsidR="00AA259F" w:rsidRPr="009D5B9D" w:rsidRDefault="00F326BD" w:rsidP="00184626">
      <w:pPr>
        <w:spacing w:after="0"/>
        <w:jc w:val="both"/>
        <w:rPr>
          <w:rFonts w:ascii="Arial" w:hAnsi="Arial" w:cs="Arial"/>
          <w:sz w:val="20"/>
        </w:rPr>
      </w:pPr>
      <w:r>
        <w:rPr>
          <w:rFonts w:ascii="Arial" w:hAnsi="Arial" w:cs="Arial"/>
          <w:sz w:val="20"/>
        </w:rPr>
        <w:tab/>
        <w:t xml:space="preserve">МСО на ХАЕА на САД предвидува дека нови лекови ќе станат достапни за третман на ХАЕ и дека нашето познавање за оптималната употреба на сите тие лекови ќе продолжи да се подобрува. </w:t>
      </w:r>
      <w:r w:rsidR="00184626">
        <w:rPr>
          <w:rFonts w:ascii="Arial" w:hAnsi="Arial" w:cs="Arial"/>
          <w:sz w:val="20"/>
        </w:rPr>
        <w:t>Затоа</w:t>
      </w:r>
      <w:r w:rsidR="00D22895">
        <w:rPr>
          <w:rFonts w:ascii="Arial" w:hAnsi="Arial" w:cs="Arial"/>
          <w:sz w:val="20"/>
        </w:rPr>
        <w:t xml:space="preserve"> сметаме дека овие инструкции може да се променат со текот на времето. Сепак, сугерираме дека инструкциите кои се подвлечени во оваа статија претставуваат најдобра заедничка почетна точка за третирање на пациентите</w:t>
      </w:r>
      <w:r w:rsidR="00184626">
        <w:rPr>
          <w:rFonts w:ascii="Arial" w:hAnsi="Arial" w:cs="Arial"/>
          <w:sz w:val="20"/>
        </w:rPr>
        <w:t xml:space="preserve"> со ХАЕ</w:t>
      </w:r>
      <w:r w:rsidR="00D22895">
        <w:rPr>
          <w:rFonts w:ascii="Arial" w:hAnsi="Arial" w:cs="Arial"/>
          <w:sz w:val="20"/>
        </w:rPr>
        <w:t xml:space="preserve"> во 2013 година.</w:t>
      </w:r>
      <w:r>
        <w:rPr>
          <w:rFonts w:ascii="Arial" w:hAnsi="Arial" w:cs="Arial"/>
          <w:sz w:val="20"/>
        </w:rPr>
        <w:t xml:space="preserve"> </w:t>
      </w:r>
    </w:p>
    <w:p w:rsidR="00F608AE" w:rsidRPr="00F608AE" w:rsidRDefault="00F608AE" w:rsidP="00F608AE">
      <w:pPr>
        <w:tabs>
          <w:tab w:val="left" w:pos="1247"/>
        </w:tabs>
        <w:jc w:val="both"/>
        <w:rPr>
          <w:rFonts w:ascii="Arial" w:hAnsi="Arial" w:cs="Arial"/>
          <w:sz w:val="20"/>
        </w:rPr>
      </w:pPr>
      <w:r w:rsidRPr="00F608AE">
        <w:rPr>
          <w:rFonts w:ascii="Arial" w:hAnsi="Arial" w:cs="Arial"/>
          <w:sz w:val="20"/>
        </w:rPr>
        <w:tab/>
      </w:r>
    </w:p>
    <w:p w:rsidR="00C024EF" w:rsidRDefault="00C024EF" w:rsidP="00F608AE">
      <w:pPr>
        <w:jc w:val="both"/>
        <w:rPr>
          <w:rFonts w:ascii="Arial" w:hAnsi="Arial" w:cs="Arial"/>
          <w:sz w:val="20"/>
        </w:rPr>
        <w:sectPr w:rsidR="00C024EF" w:rsidSect="008027D6">
          <w:endnotePr>
            <w:numFmt w:val="decimal"/>
          </w:endnotePr>
          <w:type w:val="continuous"/>
          <w:pgSz w:w="12240" w:h="15840"/>
          <w:pgMar w:top="1440" w:right="1440" w:bottom="1440" w:left="1440" w:header="720" w:footer="720" w:gutter="0"/>
          <w:cols w:num="2" w:space="720"/>
          <w:docGrid w:linePitch="360"/>
        </w:sect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Default="00C024EF" w:rsidP="00C024EF">
      <w:pPr>
        <w:spacing w:after="0"/>
        <w:rPr>
          <w:rFonts w:ascii="Times New Roman" w:hAnsi="Times New Roman" w:cs="Times New Roman"/>
          <w:sz w:val="20"/>
        </w:rPr>
      </w:pPr>
    </w:p>
    <w:p w:rsidR="00C024EF" w:rsidRPr="00B0074B" w:rsidRDefault="00C024EF" w:rsidP="00C024EF">
      <w:pPr>
        <w:spacing w:after="0"/>
        <w:rPr>
          <w:rFonts w:ascii="Times New Roman" w:hAnsi="Times New Roman" w:cs="Times New Roman"/>
          <w:sz w:val="20"/>
        </w:rPr>
      </w:pPr>
      <w:r w:rsidRPr="00B0074B">
        <w:rPr>
          <w:rFonts w:ascii="Times New Roman" w:hAnsi="Times New Roman" w:cs="Times New Roman"/>
          <w:sz w:val="20"/>
        </w:rPr>
        <w:t xml:space="preserve">In witness that the translation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proofErr w:type="spellStart"/>
      <w:r w:rsidRPr="00B0074B">
        <w:rPr>
          <w:rFonts w:ascii="Times New Roman" w:hAnsi="Times New Roman" w:cs="Times New Roman"/>
          <w:sz w:val="20"/>
        </w:rPr>
        <w:t>Потврдувам</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дека</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правилно</w:t>
      </w:r>
      <w:proofErr w:type="spellEnd"/>
    </w:p>
    <w:p w:rsidR="00C024EF" w:rsidRPr="00B0074B" w:rsidRDefault="00C024EF" w:rsidP="00C024EF">
      <w:pPr>
        <w:spacing w:after="0"/>
        <w:rPr>
          <w:rFonts w:ascii="Times New Roman" w:hAnsi="Times New Roman" w:cs="Times New Roman"/>
          <w:sz w:val="20"/>
        </w:rPr>
      </w:pPr>
      <w:proofErr w:type="gramStart"/>
      <w:r w:rsidRPr="00B0074B">
        <w:rPr>
          <w:rFonts w:ascii="Times New Roman" w:hAnsi="Times New Roman" w:cs="Times New Roman"/>
          <w:sz w:val="20"/>
        </w:rPr>
        <w:t>of</w:t>
      </w:r>
      <w:proofErr w:type="gramEnd"/>
      <w:r w:rsidRPr="00B0074B">
        <w:rPr>
          <w:rFonts w:ascii="Times New Roman" w:hAnsi="Times New Roman" w:cs="Times New Roman"/>
          <w:sz w:val="20"/>
        </w:rPr>
        <w:t xml:space="preserve"> the above document from the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proofErr w:type="spellStart"/>
      <w:r w:rsidRPr="00B0074B">
        <w:rPr>
          <w:rFonts w:ascii="Times New Roman" w:hAnsi="Times New Roman" w:cs="Times New Roman"/>
          <w:sz w:val="20"/>
        </w:rPr>
        <w:t>го</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извршив</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преводот</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од</w:t>
      </w:r>
      <w:proofErr w:type="spellEnd"/>
      <w:r w:rsidRPr="00B0074B">
        <w:rPr>
          <w:rFonts w:ascii="Times New Roman" w:hAnsi="Times New Roman" w:cs="Times New Roman"/>
          <w:sz w:val="20"/>
        </w:rPr>
        <w:t xml:space="preserve"> </w:t>
      </w:r>
    </w:p>
    <w:p w:rsidR="00C024EF" w:rsidRPr="00B0074B" w:rsidRDefault="00C024EF" w:rsidP="00C024EF">
      <w:pPr>
        <w:spacing w:after="0"/>
        <w:rPr>
          <w:rFonts w:ascii="Times New Roman" w:hAnsi="Times New Roman" w:cs="Times New Roman"/>
          <w:sz w:val="20"/>
        </w:rPr>
      </w:pPr>
      <w:r w:rsidRPr="00B0074B">
        <w:rPr>
          <w:rFonts w:ascii="Times New Roman" w:hAnsi="Times New Roman" w:cs="Times New Roman"/>
          <w:sz w:val="20"/>
        </w:rPr>
        <w:t xml:space="preserve">English original into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Pr>
          <w:rFonts w:ascii="Times New Roman" w:hAnsi="Times New Roman" w:cs="Times New Roman"/>
          <w:sz w:val="20"/>
        </w:rPr>
        <w:tab/>
      </w:r>
      <w:r w:rsidRPr="00B0074B">
        <w:rPr>
          <w:rFonts w:ascii="Times New Roman" w:hAnsi="Times New Roman" w:cs="Times New Roman"/>
          <w:sz w:val="20"/>
        </w:rPr>
        <w:t xml:space="preserve">англиски </w:t>
      </w:r>
      <w:proofErr w:type="spellStart"/>
      <w:r w:rsidRPr="00B0074B">
        <w:rPr>
          <w:rFonts w:ascii="Times New Roman" w:hAnsi="Times New Roman" w:cs="Times New Roman"/>
          <w:sz w:val="20"/>
        </w:rPr>
        <w:t>на</w:t>
      </w:r>
      <w:proofErr w:type="spellEnd"/>
      <w:r w:rsidRPr="00B0074B">
        <w:rPr>
          <w:rFonts w:ascii="Times New Roman" w:hAnsi="Times New Roman" w:cs="Times New Roman"/>
          <w:sz w:val="20"/>
        </w:rPr>
        <w:t xml:space="preserve"> </w:t>
      </w:r>
    </w:p>
    <w:p w:rsidR="00C024EF" w:rsidRPr="00B0074B" w:rsidRDefault="00C024EF" w:rsidP="00C024EF">
      <w:pPr>
        <w:spacing w:after="0"/>
        <w:rPr>
          <w:rFonts w:ascii="Times New Roman" w:hAnsi="Times New Roman" w:cs="Times New Roman"/>
          <w:sz w:val="20"/>
        </w:rPr>
      </w:pPr>
      <w:r w:rsidRPr="00B0074B">
        <w:rPr>
          <w:rFonts w:ascii="Times New Roman" w:hAnsi="Times New Roman" w:cs="Times New Roman"/>
          <w:sz w:val="20"/>
        </w:rPr>
        <w:t xml:space="preserve">Macedonian is correct, I do affix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Pr>
          <w:rFonts w:ascii="Times New Roman" w:hAnsi="Times New Roman" w:cs="Times New Roman"/>
          <w:sz w:val="20"/>
        </w:rPr>
        <w:tab/>
      </w:r>
      <w:r w:rsidRPr="00B0074B">
        <w:rPr>
          <w:rFonts w:ascii="Times New Roman" w:hAnsi="Times New Roman" w:cs="Times New Roman"/>
          <w:sz w:val="20"/>
        </w:rPr>
        <w:t xml:space="preserve">македонски </w:t>
      </w:r>
      <w:proofErr w:type="spellStart"/>
      <w:r w:rsidRPr="00B0074B">
        <w:rPr>
          <w:rFonts w:ascii="Times New Roman" w:hAnsi="Times New Roman" w:cs="Times New Roman"/>
          <w:sz w:val="20"/>
        </w:rPr>
        <w:t>јазик</w:t>
      </w:r>
      <w:proofErr w:type="spellEnd"/>
      <w:r w:rsidRPr="00B0074B">
        <w:rPr>
          <w:rFonts w:ascii="Times New Roman" w:hAnsi="Times New Roman" w:cs="Times New Roman"/>
          <w:sz w:val="20"/>
        </w:rPr>
        <w:t>.</w:t>
      </w:r>
    </w:p>
    <w:p w:rsidR="00C024EF" w:rsidRPr="00B0074B" w:rsidRDefault="00C024EF" w:rsidP="00C024EF">
      <w:pPr>
        <w:spacing w:after="0"/>
        <w:rPr>
          <w:rFonts w:ascii="Times New Roman" w:hAnsi="Times New Roman" w:cs="Times New Roman"/>
          <w:sz w:val="20"/>
        </w:rPr>
      </w:pPr>
      <w:proofErr w:type="gramStart"/>
      <w:r w:rsidRPr="00B0074B">
        <w:rPr>
          <w:rFonts w:ascii="Times New Roman" w:hAnsi="Times New Roman" w:cs="Times New Roman"/>
          <w:sz w:val="20"/>
        </w:rPr>
        <w:t>my</w:t>
      </w:r>
      <w:proofErr w:type="gramEnd"/>
      <w:r w:rsidRPr="00B0074B">
        <w:rPr>
          <w:rFonts w:ascii="Times New Roman" w:hAnsi="Times New Roman" w:cs="Times New Roman"/>
          <w:sz w:val="20"/>
        </w:rPr>
        <w:t xml:space="preserve"> Seal and Signature.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proofErr w:type="spellStart"/>
      <w:r w:rsidRPr="00B0074B">
        <w:rPr>
          <w:rFonts w:ascii="Times New Roman" w:hAnsi="Times New Roman" w:cs="Times New Roman"/>
          <w:sz w:val="20"/>
        </w:rPr>
        <w:t>Овластен</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судски</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преведувач</w:t>
      </w:r>
      <w:proofErr w:type="spellEnd"/>
    </w:p>
    <w:p w:rsidR="00C024EF" w:rsidRPr="00B0074B" w:rsidRDefault="00C024EF" w:rsidP="00C024EF">
      <w:pPr>
        <w:spacing w:after="0"/>
        <w:rPr>
          <w:rFonts w:ascii="Times New Roman" w:hAnsi="Times New Roman" w:cs="Times New Roman"/>
          <w:sz w:val="20"/>
        </w:rPr>
      </w:pPr>
      <w:r w:rsidRPr="00B0074B">
        <w:rPr>
          <w:rFonts w:ascii="Times New Roman" w:hAnsi="Times New Roman" w:cs="Times New Roman"/>
          <w:sz w:val="20"/>
        </w:rPr>
        <w:t xml:space="preserve">Sworn Court Translator from English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proofErr w:type="spellStart"/>
      <w:r w:rsidRPr="00B0074B">
        <w:rPr>
          <w:rFonts w:ascii="Times New Roman" w:hAnsi="Times New Roman" w:cs="Times New Roman"/>
          <w:sz w:val="20"/>
        </w:rPr>
        <w:t>од</w:t>
      </w:r>
      <w:proofErr w:type="spellEnd"/>
      <w:r w:rsidRPr="00B0074B">
        <w:rPr>
          <w:rFonts w:ascii="Times New Roman" w:hAnsi="Times New Roman" w:cs="Times New Roman"/>
          <w:sz w:val="20"/>
        </w:rPr>
        <w:t xml:space="preserve"> </w:t>
      </w:r>
      <w:proofErr w:type="spellStart"/>
      <w:r w:rsidRPr="00B0074B">
        <w:rPr>
          <w:rFonts w:ascii="Times New Roman" w:hAnsi="Times New Roman" w:cs="Times New Roman"/>
          <w:sz w:val="20"/>
        </w:rPr>
        <w:t>англиски</w:t>
      </w:r>
      <w:proofErr w:type="spellEnd"/>
      <w:r w:rsidRPr="00B0074B">
        <w:rPr>
          <w:rFonts w:ascii="Times New Roman" w:hAnsi="Times New Roman" w:cs="Times New Roman"/>
          <w:sz w:val="20"/>
        </w:rPr>
        <w:t xml:space="preserve"> на македонски </w:t>
      </w:r>
    </w:p>
    <w:p w:rsidR="00C024EF" w:rsidRPr="00B0074B" w:rsidRDefault="00C024EF" w:rsidP="00C024EF">
      <w:pPr>
        <w:spacing w:after="0"/>
        <w:rPr>
          <w:rFonts w:ascii="Times New Roman" w:hAnsi="Times New Roman" w:cs="Times New Roman"/>
          <w:sz w:val="20"/>
        </w:rPr>
      </w:pPr>
      <w:proofErr w:type="gramStart"/>
      <w:r w:rsidRPr="00B0074B">
        <w:rPr>
          <w:rFonts w:ascii="Times New Roman" w:hAnsi="Times New Roman" w:cs="Times New Roman"/>
          <w:sz w:val="20"/>
        </w:rPr>
        <w:t>language</w:t>
      </w:r>
      <w:proofErr w:type="gramEnd"/>
      <w:r w:rsidRPr="00B0074B">
        <w:rPr>
          <w:rFonts w:ascii="Times New Roman" w:hAnsi="Times New Roman" w:cs="Times New Roman"/>
          <w:sz w:val="20"/>
        </w:rPr>
        <w:t xml:space="preserve"> into Macedonian and vice versa.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t>јазик и обратно.</w:t>
      </w:r>
    </w:p>
    <w:p w:rsidR="00C024EF" w:rsidRPr="00B0074B" w:rsidRDefault="00C024EF" w:rsidP="00C024EF">
      <w:pPr>
        <w:spacing w:after="0"/>
        <w:rPr>
          <w:rFonts w:ascii="Times New Roman" w:hAnsi="Times New Roman" w:cs="Times New Roman"/>
          <w:sz w:val="20"/>
        </w:rPr>
      </w:pPr>
      <w:r w:rsidRPr="00B0074B">
        <w:rPr>
          <w:rFonts w:ascii="Times New Roman" w:hAnsi="Times New Roman" w:cs="Times New Roman"/>
          <w:sz w:val="20"/>
        </w:rPr>
        <w:t>Jovanovska Natasha</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t xml:space="preserve">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t xml:space="preserve">Јовановска </w:t>
      </w:r>
      <w:proofErr w:type="spellStart"/>
      <w:r w:rsidRPr="00B0074B">
        <w:rPr>
          <w:rFonts w:ascii="Times New Roman" w:hAnsi="Times New Roman" w:cs="Times New Roman"/>
          <w:sz w:val="20"/>
        </w:rPr>
        <w:t>Наташа</w:t>
      </w:r>
      <w:proofErr w:type="spellEnd"/>
    </w:p>
    <w:p w:rsidR="00C024EF" w:rsidRPr="00B0074B" w:rsidRDefault="00C024EF" w:rsidP="00C024EF">
      <w:pPr>
        <w:spacing w:after="0"/>
        <w:rPr>
          <w:rFonts w:ascii="Times New Roman" w:hAnsi="Times New Roman" w:cs="Times New Roman"/>
          <w:sz w:val="20"/>
        </w:rPr>
      </w:pPr>
      <w:r w:rsidRPr="00B0074B">
        <w:rPr>
          <w:rFonts w:ascii="Times New Roman" w:hAnsi="Times New Roman" w:cs="Times New Roman"/>
          <w:sz w:val="20"/>
        </w:rPr>
        <w:t xml:space="preserve">Skopje, October 9, 2016       </w:t>
      </w:r>
      <w:r w:rsidRPr="00B0074B">
        <w:rPr>
          <w:rFonts w:ascii="Times New Roman" w:hAnsi="Times New Roman" w:cs="Times New Roman"/>
          <w:sz w:val="20"/>
        </w:rPr>
        <w:tab/>
      </w:r>
      <w:r w:rsidRPr="00B0074B">
        <w:rPr>
          <w:rFonts w:ascii="Times New Roman" w:hAnsi="Times New Roman" w:cs="Times New Roman"/>
          <w:sz w:val="20"/>
        </w:rPr>
        <w:tab/>
        <w:t xml:space="preserve">         </w:t>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proofErr w:type="spellStart"/>
      <w:r w:rsidRPr="00B0074B">
        <w:rPr>
          <w:rFonts w:ascii="Times New Roman" w:hAnsi="Times New Roman" w:cs="Times New Roman"/>
          <w:sz w:val="20"/>
        </w:rPr>
        <w:t>Скопје</w:t>
      </w:r>
      <w:proofErr w:type="spellEnd"/>
      <w:r w:rsidRPr="00B0074B">
        <w:rPr>
          <w:rFonts w:ascii="Times New Roman" w:hAnsi="Times New Roman" w:cs="Times New Roman"/>
          <w:sz w:val="20"/>
        </w:rPr>
        <w:t xml:space="preserve">, 9 октомври 2016 </w:t>
      </w:r>
    </w:p>
    <w:p w:rsidR="00C024EF" w:rsidRPr="00B0074B" w:rsidRDefault="00C024EF" w:rsidP="00C024EF">
      <w:pPr>
        <w:spacing w:after="0"/>
        <w:rPr>
          <w:rFonts w:ascii="Arial" w:hAnsi="Arial"/>
          <w:sz w:val="20"/>
        </w:rPr>
      </w:pP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r>
      <w:r w:rsidRPr="00B0074B">
        <w:rPr>
          <w:rFonts w:ascii="Times New Roman" w:hAnsi="Times New Roman" w:cs="Times New Roman"/>
          <w:sz w:val="20"/>
        </w:rPr>
        <w:tab/>
        <w:t>година</w:t>
      </w:r>
      <w:r w:rsidRPr="00B0074B">
        <w:rPr>
          <w:rFonts w:ascii="Times New Roman" w:hAnsi="Times New Roman" w:cs="Times New Roman"/>
          <w:b/>
          <w:sz w:val="20"/>
        </w:rPr>
        <w:tab/>
      </w:r>
    </w:p>
    <w:p w:rsidR="00F608AE" w:rsidRPr="00F608AE" w:rsidRDefault="00F608AE" w:rsidP="00F608AE">
      <w:pPr>
        <w:jc w:val="both"/>
        <w:rPr>
          <w:rFonts w:ascii="Arial" w:hAnsi="Arial" w:cs="Arial"/>
          <w:sz w:val="20"/>
        </w:rPr>
      </w:pPr>
    </w:p>
    <w:p w:rsidR="00B90499" w:rsidRPr="00F608AE" w:rsidRDefault="00B90499" w:rsidP="00F608AE">
      <w:pPr>
        <w:jc w:val="both"/>
        <w:rPr>
          <w:rFonts w:ascii="Arial" w:hAnsi="Arial" w:cs="Arial"/>
          <w:sz w:val="20"/>
        </w:rPr>
        <w:sectPr w:rsidR="00B90499" w:rsidRPr="00F608AE" w:rsidSect="00C024EF">
          <w:endnotePr>
            <w:numFmt w:val="decimal"/>
          </w:endnotePr>
          <w:pgSz w:w="12240" w:h="15840"/>
          <w:pgMar w:top="1440" w:right="1440" w:bottom="1440" w:left="1440" w:header="720" w:footer="720" w:gutter="0"/>
          <w:cols w:space="720"/>
          <w:docGrid w:linePitch="360"/>
        </w:sectPr>
      </w:pPr>
    </w:p>
    <w:p w:rsidR="00F608AE" w:rsidRPr="00E76D3B" w:rsidRDefault="00E76D3B" w:rsidP="00E76D3B">
      <w:pPr>
        <w:jc w:val="both"/>
        <w:rPr>
          <w:rFonts w:ascii="Arial" w:hAnsi="Arial" w:cs="Arial"/>
          <w:sz w:val="20"/>
        </w:rPr>
      </w:pPr>
      <w:r>
        <w:rPr>
          <w:rFonts w:ascii="Arial" w:hAnsi="Arial" w:cs="Arial"/>
          <w:sz w:val="20"/>
        </w:rPr>
        <w:lastRenderedPageBreak/>
        <w:t>References</w:t>
      </w:r>
    </w:p>
    <w:sectPr w:rsidR="00F608AE" w:rsidRPr="00E76D3B" w:rsidSect="00F608AE">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E0" w:rsidRDefault="00B65FE0" w:rsidP="00005B93">
      <w:pPr>
        <w:spacing w:after="0" w:line="240" w:lineRule="auto"/>
      </w:pPr>
      <w:r>
        <w:separator/>
      </w:r>
    </w:p>
  </w:endnote>
  <w:endnote w:type="continuationSeparator" w:id="0">
    <w:p w:rsidR="00B65FE0" w:rsidRDefault="00B65FE0" w:rsidP="00005B93">
      <w:pPr>
        <w:spacing w:after="0" w:line="240" w:lineRule="auto"/>
      </w:pPr>
      <w:r>
        <w:continuationSeparator/>
      </w:r>
    </w:p>
  </w:endnote>
  <w:endnote w:id="1">
    <w:p w:rsidR="008027D6" w:rsidRPr="00005B93" w:rsidRDefault="008027D6" w:rsidP="00C46B10">
      <w:pPr>
        <w:pStyle w:val="EndnoteText"/>
        <w:jc w:val="both"/>
      </w:pPr>
      <w:r>
        <w:rPr>
          <w:rStyle w:val="EndnoteReference"/>
        </w:rPr>
        <w:endnoteRef/>
      </w:r>
      <w:r>
        <w:t xml:space="preserve"> Donaldson VH, Evans RR. A biochemical abnormality in hereditary </w:t>
      </w:r>
      <w:proofErr w:type="spellStart"/>
      <w:r>
        <w:t>angioneurotic</w:t>
      </w:r>
      <w:proofErr w:type="spellEnd"/>
      <w:r>
        <w:t xml:space="preserve"> edema: absence of serum inhibitor of C1 – esterase. Am J Med 1963;35:37-44</w:t>
      </w:r>
    </w:p>
  </w:endnote>
  <w:endnote w:id="2">
    <w:p w:rsidR="008027D6" w:rsidRDefault="008027D6" w:rsidP="00C46B10">
      <w:pPr>
        <w:pStyle w:val="EndnoteText"/>
        <w:jc w:val="both"/>
      </w:pPr>
      <w:r>
        <w:rPr>
          <w:rStyle w:val="EndnoteReference"/>
        </w:rPr>
        <w:endnoteRef/>
      </w:r>
      <w:r>
        <w:t xml:space="preserve"> Rosen FS, </w:t>
      </w:r>
      <w:proofErr w:type="spellStart"/>
      <w:r>
        <w:t>Pensky</w:t>
      </w:r>
      <w:proofErr w:type="spellEnd"/>
      <w:r>
        <w:t xml:space="preserve"> J. Donaldson V, </w:t>
      </w:r>
      <w:proofErr w:type="spellStart"/>
      <w:r>
        <w:t>Charache</w:t>
      </w:r>
      <w:proofErr w:type="spellEnd"/>
      <w:r>
        <w:t xml:space="preserve"> P, Hereditary </w:t>
      </w:r>
      <w:proofErr w:type="spellStart"/>
      <w:r>
        <w:t>angioneurotic</w:t>
      </w:r>
      <w:proofErr w:type="spellEnd"/>
      <w:r>
        <w:t xml:space="preserve"> edema: two genetic variants. Science 1965; 148:957-8</w:t>
      </w:r>
    </w:p>
  </w:endnote>
  <w:endnote w:id="3">
    <w:p w:rsidR="008027D6" w:rsidRDefault="008027D6" w:rsidP="00C46B10">
      <w:pPr>
        <w:pStyle w:val="EndnoteText"/>
        <w:jc w:val="both"/>
      </w:pPr>
      <w:r>
        <w:rPr>
          <w:rStyle w:val="EndnoteReference"/>
        </w:rPr>
        <w:endnoteRef/>
      </w:r>
      <w:r>
        <w:t xml:space="preserve"> </w:t>
      </w:r>
      <w:proofErr w:type="gramStart"/>
      <w:r>
        <w:t>Zuraw BL. Clinical Practice.</w:t>
      </w:r>
      <w:proofErr w:type="gramEnd"/>
      <w:r>
        <w:t xml:space="preserve"> </w:t>
      </w:r>
      <w:proofErr w:type="gramStart"/>
      <w:r>
        <w:t xml:space="preserve">Hereditary </w:t>
      </w:r>
      <w:proofErr w:type="spellStart"/>
      <w:r>
        <w:t>angiedema</w:t>
      </w:r>
      <w:proofErr w:type="spellEnd"/>
      <w:r>
        <w:t>.</w:t>
      </w:r>
      <w:proofErr w:type="gramEnd"/>
      <w:r>
        <w:t xml:space="preserve"> N </w:t>
      </w:r>
      <w:proofErr w:type="spellStart"/>
      <w:r>
        <w:t>Engl</w:t>
      </w:r>
      <w:proofErr w:type="spellEnd"/>
      <w:r>
        <w:t xml:space="preserve"> J Med 2008; 359:1027-36.</w:t>
      </w:r>
    </w:p>
  </w:endnote>
  <w:endnote w:id="4">
    <w:p w:rsidR="008027D6" w:rsidRPr="00C46B10" w:rsidRDefault="008027D6" w:rsidP="00092AE3">
      <w:pPr>
        <w:pStyle w:val="EndnoteText"/>
        <w:jc w:val="both"/>
      </w:pPr>
      <w:r>
        <w:rPr>
          <w:rStyle w:val="EndnoteReference"/>
        </w:rPr>
        <w:endnoteRef/>
      </w:r>
      <w:r>
        <w:t xml:space="preserve"> </w:t>
      </w:r>
      <w:proofErr w:type="gramStart"/>
      <w:r>
        <w:t>Binkley KE, Davis AIII.</w:t>
      </w:r>
      <w:proofErr w:type="gramEnd"/>
      <w:r>
        <w:t xml:space="preserve"> </w:t>
      </w:r>
      <w:proofErr w:type="gramStart"/>
      <w:r>
        <w:t xml:space="preserve">Clinical, biochemical and genetic characterization of a novel </w:t>
      </w:r>
      <w:proofErr w:type="spellStart"/>
      <w:r>
        <w:t>strogen</w:t>
      </w:r>
      <w:proofErr w:type="spellEnd"/>
      <w:r>
        <w:t xml:space="preserve"> – dependent inherited form of angioedema.</w:t>
      </w:r>
      <w:proofErr w:type="gramEnd"/>
      <w:r>
        <w:t xml:space="preserve"> J. Allergy </w:t>
      </w:r>
      <w:proofErr w:type="spellStart"/>
      <w:r>
        <w:t>Clin</w:t>
      </w:r>
      <w:proofErr w:type="spellEnd"/>
      <w:r>
        <w:t xml:space="preserve"> </w:t>
      </w:r>
      <w:proofErr w:type="spellStart"/>
      <w:r>
        <w:t>Immunol</w:t>
      </w:r>
      <w:proofErr w:type="spellEnd"/>
      <w:r>
        <w:t xml:space="preserve"> 2000; 106:546-50. </w:t>
      </w:r>
    </w:p>
  </w:endnote>
  <w:endnote w:id="5">
    <w:p w:rsidR="008027D6" w:rsidRDefault="008027D6" w:rsidP="009F3323">
      <w:pPr>
        <w:pStyle w:val="EndnoteText"/>
        <w:jc w:val="both"/>
      </w:pPr>
      <w:r>
        <w:rPr>
          <w:rStyle w:val="EndnoteReference"/>
        </w:rPr>
        <w:endnoteRef/>
      </w:r>
      <w:r>
        <w:t xml:space="preserve"> Bork K, </w:t>
      </w:r>
      <w:proofErr w:type="spellStart"/>
      <w:r>
        <w:t>Bamstedt</w:t>
      </w:r>
      <w:proofErr w:type="spellEnd"/>
      <w:r>
        <w:t xml:space="preserve"> SE, Koch P, </w:t>
      </w:r>
      <w:proofErr w:type="spellStart"/>
      <w:r>
        <w:t>Traupe</w:t>
      </w:r>
      <w:proofErr w:type="spellEnd"/>
      <w:r>
        <w:t xml:space="preserve"> H. Hereditary angioedema with normal C1-inhibitor activity in women. Lancet 2000; 356:213-7.</w:t>
      </w:r>
    </w:p>
  </w:endnote>
  <w:endnote w:id="6">
    <w:p w:rsidR="008027D6" w:rsidRPr="002B0165" w:rsidRDefault="008027D6" w:rsidP="009F3323">
      <w:pPr>
        <w:pStyle w:val="EndnoteText"/>
        <w:jc w:val="both"/>
      </w:pPr>
      <w:r>
        <w:rPr>
          <w:rStyle w:val="EndnoteReference"/>
        </w:rPr>
        <w:endnoteRef/>
      </w:r>
      <w:r>
        <w:t xml:space="preserve"> Frank MM. Hereditary angioedema: the clinical syndrome and its management in the United States. </w:t>
      </w:r>
      <w:proofErr w:type="spellStart"/>
      <w:r>
        <w:t>Immunol</w:t>
      </w:r>
      <w:proofErr w:type="spellEnd"/>
      <w:r>
        <w:t xml:space="preserve"> Allergy </w:t>
      </w:r>
      <w:proofErr w:type="spellStart"/>
      <w:r>
        <w:t>Clin</w:t>
      </w:r>
      <w:proofErr w:type="spellEnd"/>
      <w:r>
        <w:t xml:space="preserve"> North Am 2006; 26:653-68</w:t>
      </w:r>
    </w:p>
  </w:endnote>
  <w:endnote w:id="7">
    <w:p w:rsidR="008027D6" w:rsidRDefault="008027D6" w:rsidP="009F3323">
      <w:pPr>
        <w:pStyle w:val="EndnoteText"/>
        <w:jc w:val="both"/>
      </w:pPr>
      <w:r>
        <w:rPr>
          <w:rStyle w:val="EndnoteReference"/>
        </w:rPr>
        <w:endnoteRef/>
      </w:r>
      <w:r>
        <w:t xml:space="preserve"> Frank MM, </w:t>
      </w:r>
      <w:proofErr w:type="spellStart"/>
      <w:r>
        <w:t>Gelfand</w:t>
      </w:r>
      <w:proofErr w:type="spellEnd"/>
      <w:r>
        <w:t xml:space="preserve"> JA, Atkinson JP, Hereditary angioedema: the clinical syndrome and its management. Ann </w:t>
      </w:r>
      <w:proofErr w:type="spellStart"/>
      <w:r>
        <w:t>Intem</w:t>
      </w:r>
      <w:proofErr w:type="spellEnd"/>
      <w:r>
        <w:t xml:space="preserve"> Med 1976; 84: 586-93.</w:t>
      </w:r>
    </w:p>
  </w:endnote>
  <w:endnote w:id="8">
    <w:p w:rsidR="008027D6" w:rsidRPr="00580FDB" w:rsidRDefault="008027D6" w:rsidP="009F3323">
      <w:pPr>
        <w:pStyle w:val="EndnoteText"/>
        <w:jc w:val="both"/>
      </w:pPr>
      <w:r>
        <w:rPr>
          <w:rStyle w:val="EndnoteReference"/>
        </w:rPr>
        <w:endnoteRef/>
      </w:r>
      <w:r>
        <w:t xml:space="preserve"> </w:t>
      </w:r>
      <w:proofErr w:type="spellStart"/>
      <w:r>
        <w:t>Cicardi</w:t>
      </w:r>
      <w:proofErr w:type="spellEnd"/>
      <w:r>
        <w:t xml:space="preserve"> M, Levy RJ, McNeil DL, Li HH, </w:t>
      </w:r>
      <w:proofErr w:type="spellStart"/>
      <w:r>
        <w:t>Sheffer</w:t>
      </w:r>
      <w:proofErr w:type="spellEnd"/>
      <w:r>
        <w:t xml:space="preserve"> AL, Campion M, et al. </w:t>
      </w:r>
      <w:proofErr w:type="spellStart"/>
      <w:r>
        <w:t>Ecallantide</w:t>
      </w:r>
      <w:proofErr w:type="spellEnd"/>
      <w:r>
        <w:t xml:space="preserve"> for the treatment of acute attacks in hereditary angioedema. N </w:t>
      </w:r>
      <w:proofErr w:type="spellStart"/>
      <w:r>
        <w:t>Engl</w:t>
      </w:r>
      <w:proofErr w:type="spellEnd"/>
      <w:r>
        <w:t xml:space="preserve"> J Med 2010; 363:523-31.</w:t>
      </w:r>
    </w:p>
  </w:endnote>
  <w:endnote w:id="9">
    <w:p w:rsidR="008027D6" w:rsidRDefault="008027D6" w:rsidP="009F3323">
      <w:pPr>
        <w:pStyle w:val="EndnoteText"/>
        <w:jc w:val="both"/>
      </w:pPr>
      <w:r>
        <w:rPr>
          <w:rStyle w:val="EndnoteReference"/>
        </w:rPr>
        <w:endnoteRef/>
      </w:r>
      <w:r>
        <w:t xml:space="preserve"> </w:t>
      </w:r>
      <w:proofErr w:type="spellStart"/>
      <w:r>
        <w:t>Cicardi</w:t>
      </w:r>
      <w:proofErr w:type="spellEnd"/>
      <w:r>
        <w:t xml:space="preserve"> M, Levy RJ, McNeil DL, Li HH, </w:t>
      </w:r>
      <w:proofErr w:type="spellStart"/>
      <w:r>
        <w:t>Sheffer</w:t>
      </w:r>
      <w:proofErr w:type="spellEnd"/>
      <w:r>
        <w:t xml:space="preserve"> AL., Campion M, et al. </w:t>
      </w:r>
      <w:proofErr w:type="spellStart"/>
      <w:r>
        <w:t>Ecallantide</w:t>
      </w:r>
      <w:proofErr w:type="spellEnd"/>
      <w:r>
        <w:t xml:space="preserve"> for the treatment of acute attacks in hereditary angioedema. N </w:t>
      </w:r>
      <w:proofErr w:type="spellStart"/>
      <w:r>
        <w:t>Engl</w:t>
      </w:r>
      <w:proofErr w:type="spellEnd"/>
      <w:r>
        <w:t xml:space="preserve"> J Med 2010; 363: 523-31.</w:t>
      </w:r>
    </w:p>
  </w:endnote>
  <w:endnote w:id="10">
    <w:p w:rsidR="008027D6" w:rsidRDefault="008027D6" w:rsidP="009F3323">
      <w:pPr>
        <w:pStyle w:val="EndnoteText"/>
        <w:jc w:val="both"/>
      </w:pPr>
      <w:r>
        <w:rPr>
          <w:rStyle w:val="EndnoteReference"/>
        </w:rPr>
        <w:endnoteRef/>
      </w:r>
      <w:r>
        <w:t xml:space="preserve"> </w:t>
      </w:r>
      <w:proofErr w:type="gramStart"/>
      <w:r>
        <w:t xml:space="preserve">Zuraw BL., </w:t>
      </w:r>
      <w:proofErr w:type="spellStart"/>
      <w:r>
        <w:t>Busse</w:t>
      </w:r>
      <w:proofErr w:type="spellEnd"/>
      <w:r>
        <w:t xml:space="preserve"> PJ, White M, Jacobs J, </w:t>
      </w:r>
      <w:proofErr w:type="spellStart"/>
      <w:r>
        <w:t>Lumry</w:t>
      </w:r>
      <w:proofErr w:type="spellEnd"/>
      <w:r>
        <w:t xml:space="preserve"> W Baker J, et al. </w:t>
      </w:r>
      <w:proofErr w:type="spellStart"/>
      <w:r>
        <w:t>Nanofiltered</w:t>
      </w:r>
      <w:proofErr w:type="spellEnd"/>
      <w:r>
        <w:t xml:space="preserve"> C1 inhibitor concentrate for treatment of hereditary angioedema.</w:t>
      </w:r>
      <w:proofErr w:type="gramEnd"/>
      <w:r>
        <w:t xml:space="preserve"> N </w:t>
      </w:r>
      <w:proofErr w:type="spellStart"/>
      <w:r>
        <w:t>Engl</w:t>
      </w:r>
      <w:proofErr w:type="spellEnd"/>
      <w:r>
        <w:t xml:space="preserve"> J med 2010; 363: 513-22</w:t>
      </w:r>
    </w:p>
  </w:endnote>
  <w:endnote w:id="11">
    <w:p w:rsidR="008027D6" w:rsidRDefault="008027D6" w:rsidP="009F3323">
      <w:pPr>
        <w:pStyle w:val="EndnoteText"/>
        <w:jc w:val="both"/>
      </w:pPr>
      <w:r>
        <w:rPr>
          <w:rStyle w:val="EndnoteReference"/>
        </w:rPr>
        <w:endnoteRef/>
      </w:r>
      <w:r>
        <w:t xml:space="preserve"> Craig TJ, Levy RJ, Wasserman RL, </w:t>
      </w:r>
      <w:proofErr w:type="spellStart"/>
      <w:r>
        <w:t>Bewtra</w:t>
      </w:r>
      <w:proofErr w:type="spellEnd"/>
      <w:r>
        <w:t xml:space="preserve"> AK, </w:t>
      </w:r>
      <w:proofErr w:type="spellStart"/>
      <w:r>
        <w:t>Hurewitz</w:t>
      </w:r>
      <w:proofErr w:type="spellEnd"/>
      <w:r>
        <w:t xml:space="preserve"> D, </w:t>
      </w:r>
      <w:proofErr w:type="spellStart"/>
      <w:r>
        <w:t>Obtulowicz</w:t>
      </w:r>
      <w:proofErr w:type="spellEnd"/>
      <w:r>
        <w:t xml:space="preserve"> K, et al. Efficacy of human C1 esterase inhibitor concentrate compared with placebo in acute hereditary angioedema attacks. J Allergy </w:t>
      </w:r>
      <w:proofErr w:type="spellStart"/>
      <w:r>
        <w:t>Clin</w:t>
      </w:r>
      <w:proofErr w:type="spellEnd"/>
      <w:r>
        <w:t xml:space="preserve"> </w:t>
      </w:r>
      <w:proofErr w:type="spellStart"/>
      <w:r>
        <w:t>Immunol</w:t>
      </w:r>
      <w:proofErr w:type="spellEnd"/>
      <w:r>
        <w:t xml:space="preserve"> 2009; 124:801-8.</w:t>
      </w:r>
    </w:p>
  </w:endnote>
  <w:endnote w:id="12">
    <w:p w:rsidR="008027D6" w:rsidRPr="00B32B3F" w:rsidRDefault="008027D6" w:rsidP="00924DEC">
      <w:pPr>
        <w:pStyle w:val="EndnoteText"/>
        <w:jc w:val="both"/>
      </w:pPr>
      <w:r>
        <w:rPr>
          <w:rStyle w:val="EndnoteReference"/>
        </w:rPr>
        <w:endnoteRef/>
      </w:r>
      <w:r>
        <w:t xml:space="preserve"> Bork K, </w:t>
      </w:r>
      <w:proofErr w:type="spellStart"/>
      <w:r>
        <w:t>Hardt</w:t>
      </w:r>
      <w:proofErr w:type="spellEnd"/>
      <w:r>
        <w:t xml:space="preserve"> J, </w:t>
      </w:r>
      <w:proofErr w:type="spellStart"/>
      <w:r>
        <w:t>Witzke</w:t>
      </w:r>
      <w:proofErr w:type="spellEnd"/>
      <w:r>
        <w:t xml:space="preserve"> G. Fatal laryngeal attacks and mortality in hereditary angioedema due to C1INH deficiency. J Allergy </w:t>
      </w:r>
      <w:proofErr w:type="spellStart"/>
      <w:r>
        <w:t>Clin</w:t>
      </w:r>
      <w:proofErr w:type="spellEnd"/>
      <w:r>
        <w:t xml:space="preserve"> </w:t>
      </w:r>
      <w:proofErr w:type="spellStart"/>
      <w:r>
        <w:t>Immunol</w:t>
      </w:r>
      <w:proofErr w:type="spellEnd"/>
      <w:r>
        <w:t xml:space="preserve"> 2012; 130:692-7</w:t>
      </w:r>
    </w:p>
  </w:endnote>
  <w:endnote w:id="13">
    <w:p w:rsidR="008027D6" w:rsidRPr="000C4DD8" w:rsidRDefault="008027D6" w:rsidP="005C623E">
      <w:pPr>
        <w:pStyle w:val="EndnoteText"/>
        <w:jc w:val="both"/>
      </w:pPr>
      <w:r>
        <w:rPr>
          <w:rStyle w:val="EndnoteReference"/>
        </w:rPr>
        <w:endnoteRef/>
      </w:r>
      <w:r>
        <w:t xml:space="preserve"> Bowen T, </w:t>
      </w:r>
      <w:proofErr w:type="spellStart"/>
      <w:r>
        <w:t>Cicardi</w:t>
      </w:r>
      <w:proofErr w:type="spellEnd"/>
      <w:r>
        <w:t xml:space="preserve"> M, </w:t>
      </w:r>
      <w:proofErr w:type="spellStart"/>
      <w:r>
        <w:t>Farkas</w:t>
      </w:r>
      <w:proofErr w:type="spellEnd"/>
      <w:r>
        <w:t xml:space="preserve"> H, Bork K, </w:t>
      </w:r>
      <w:proofErr w:type="spellStart"/>
      <w:r>
        <w:t>Longhurst</w:t>
      </w:r>
      <w:proofErr w:type="spellEnd"/>
      <w:r>
        <w:t xml:space="preserve"> HJ, Zuraw B, et al. 2010 International consensus algorithm for the diagnosis, therapy and management of hereditary angioedema. Allergy Asthma </w:t>
      </w:r>
      <w:proofErr w:type="spellStart"/>
      <w:r>
        <w:t>Clin</w:t>
      </w:r>
      <w:proofErr w:type="spellEnd"/>
      <w:r>
        <w:t xml:space="preserve"> </w:t>
      </w:r>
      <w:proofErr w:type="spellStart"/>
      <w:r>
        <w:t>Immunol</w:t>
      </w:r>
      <w:proofErr w:type="spellEnd"/>
      <w:r>
        <w:t xml:space="preserve"> 2010;6;24</w:t>
      </w:r>
    </w:p>
  </w:endnote>
  <w:endnote w:id="14">
    <w:p w:rsidR="008027D6" w:rsidRDefault="008027D6" w:rsidP="005C623E">
      <w:pPr>
        <w:pStyle w:val="EndnoteText"/>
        <w:jc w:val="both"/>
      </w:pPr>
      <w:r>
        <w:rPr>
          <w:rStyle w:val="EndnoteReference"/>
        </w:rPr>
        <w:endnoteRef/>
      </w:r>
      <w:r>
        <w:t xml:space="preserve"> Craig T, </w:t>
      </w:r>
      <w:proofErr w:type="spellStart"/>
      <w:r>
        <w:t>Pursun</w:t>
      </w:r>
      <w:proofErr w:type="spellEnd"/>
      <w:r>
        <w:t xml:space="preserve"> EA, Bork K, Bowen T, </w:t>
      </w:r>
      <w:proofErr w:type="spellStart"/>
      <w:r>
        <w:t>Boysen</w:t>
      </w:r>
      <w:proofErr w:type="spellEnd"/>
      <w:r>
        <w:t xml:space="preserve"> H, </w:t>
      </w:r>
      <w:proofErr w:type="spellStart"/>
      <w:r>
        <w:t>Farkas</w:t>
      </w:r>
      <w:proofErr w:type="spellEnd"/>
      <w:r>
        <w:t xml:space="preserve"> H, et al. WAO guideline for the management of hereditary angioedema. World Allergy Organ J 2012;5: 182-99</w:t>
      </w:r>
    </w:p>
  </w:endnote>
  <w:endnote w:id="15">
    <w:p w:rsidR="008027D6" w:rsidRPr="00103DEB" w:rsidRDefault="008027D6" w:rsidP="005C623E">
      <w:pPr>
        <w:pStyle w:val="EndnoteText"/>
        <w:jc w:val="both"/>
      </w:pPr>
      <w:r>
        <w:rPr>
          <w:rStyle w:val="EndnoteReference"/>
        </w:rPr>
        <w:endnoteRef/>
      </w:r>
      <w:r>
        <w:t xml:space="preserve"> </w:t>
      </w:r>
      <w:proofErr w:type="spellStart"/>
      <w:r>
        <w:t>Gompels</w:t>
      </w:r>
      <w:proofErr w:type="spellEnd"/>
      <w:r>
        <w:t xml:space="preserve"> MM, Lock RJ </w:t>
      </w:r>
      <w:proofErr w:type="spellStart"/>
      <w:r>
        <w:t>Abinun</w:t>
      </w:r>
      <w:proofErr w:type="spellEnd"/>
      <w:r>
        <w:t xml:space="preserve"> M, Bethune CA, Davies G, Grattan C, et al. C1 inhibitor deficiency: consensus document. </w:t>
      </w:r>
      <w:proofErr w:type="spellStart"/>
      <w:r>
        <w:t>Clin</w:t>
      </w:r>
      <w:proofErr w:type="spellEnd"/>
      <w:r>
        <w:t xml:space="preserve"> </w:t>
      </w:r>
      <w:proofErr w:type="spellStart"/>
      <w:r>
        <w:t>Exp</w:t>
      </w:r>
      <w:proofErr w:type="spellEnd"/>
      <w:r>
        <w:t xml:space="preserve"> </w:t>
      </w:r>
      <w:proofErr w:type="spellStart"/>
      <w:r>
        <w:t>Immunol</w:t>
      </w:r>
      <w:proofErr w:type="spellEnd"/>
      <w:r>
        <w:t xml:space="preserve"> 2005; 139: 379-94.</w:t>
      </w:r>
    </w:p>
  </w:endnote>
  <w:endnote w:id="16">
    <w:p w:rsidR="008027D6" w:rsidRPr="00103DEB" w:rsidRDefault="008027D6" w:rsidP="005C623E">
      <w:pPr>
        <w:pStyle w:val="EndnoteText"/>
        <w:jc w:val="both"/>
      </w:pPr>
      <w:r>
        <w:rPr>
          <w:rStyle w:val="EndnoteReference"/>
        </w:rPr>
        <w:endnoteRef/>
      </w:r>
      <w:r>
        <w:t xml:space="preserve"> </w:t>
      </w:r>
      <w:proofErr w:type="spellStart"/>
      <w:r>
        <w:t>Cicardi</w:t>
      </w:r>
      <w:proofErr w:type="spellEnd"/>
      <w:r>
        <w:t xml:space="preserve"> M, Bork K, Caballero T, Craig T, Li HH, </w:t>
      </w:r>
      <w:proofErr w:type="spellStart"/>
      <w:r>
        <w:t>Longhurst</w:t>
      </w:r>
      <w:proofErr w:type="spellEnd"/>
      <w:r>
        <w:t xml:space="preserve"> H, et al. Evidence based recommendations for the therapeutic management of angioedema owing to hereditary C1 inhibitor deficiency: consensus report of an International Working Group. Allergy 2012;67:147-57</w:t>
      </w:r>
    </w:p>
  </w:endnote>
  <w:endnote w:id="17">
    <w:p w:rsidR="008027D6" w:rsidRPr="00103DEB" w:rsidRDefault="008027D6" w:rsidP="005C623E">
      <w:pPr>
        <w:pStyle w:val="EndnoteText"/>
        <w:jc w:val="both"/>
      </w:pPr>
      <w:r>
        <w:rPr>
          <w:rStyle w:val="EndnoteReference"/>
        </w:rPr>
        <w:endnoteRef/>
      </w:r>
      <w:r>
        <w:t xml:space="preserve"> Caballero T, </w:t>
      </w:r>
      <w:proofErr w:type="spellStart"/>
      <w:r>
        <w:t>Baeza</w:t>
      </w:r>
      <w:proofErr w:type="spellEnd"/>
      <w:r>
        <w:t xml:space="preserve"> ML., Cabanas R, Campos A. </w:t>
      </w:r>
      <w:proofErr w:type="spellStart"/>
      <w:r>
        <w:t>Combollek</w:t>
      </w:r>
      <w:proofErr w:type="spellEnd"/>
      <w:r>
        <w:t xml:space="preserve"> S, Gomez-</w:t>
      </w:r>
      <w:proofErr w:type="spellStart"/>
      <w:r>
        <w:t>Traseira</w:t>
      </w:r>
      <w:proofErr w:type="spellEnd"/>
      <w:r>
        <w:t xml:space="preserve"> C, et al. Consensus statement on the diagnosis, management, and treatment of angioedema mediated by bradykinin. Part II. </w:t>
      </w:r>
      <w:proofErr w:type="gramStart"/>
      <w:r>
        <w:t>Treatment, follow-up, and special situations.</w:t>
      </w:r>
      <w:proofErr w:type="gramEnd"/>
      <w:r>
        <w:t xml:space="preserve"> J </w:t>
      </w:r>
      <w:proofErr w:type="spellStart"/>
      <w:r>
        <w:t>Investig</w:t>
      </w:r>
      <w:proofErr w:type="spellEnd"/>
      <w:r>
        <w:t xml:space="preserve"> </w:t>
      </w:r>
      <w:proofErr w:type="spellStart"/>
      <w:r>
        <w:t>Allergol</w:t>
      </w:r>
      <w:proofErr w:type="spellEnd"/>
      <w:r>
        <w:t xml:space="preserve"> </w:t>
      </w:r>
      <w:proofErr w:type="spellStart"/>
      <w:r>
        <w:t>Clin</w:t>
      </w:r>
      <w:proofErr w:type="spellEnd"/>
      <w:r>
        <w:t xml:space="preserve"> </w:t>
      </w:r>
      <w:proofErr w:type="spellStart"/>
      <w:r>
        <w:t>Immunol</w:t>
      </w:r>
      <w:proofErr w:type="spellEnd"/>
      <w:r>
        <w:t xml:space="preserve"> 2011</w:t>
      </w:r>
      <w:proofErr w:type="gramStart"/>
      <w:r>
        <w:t>;21:422</w:t>
      </w:r>
      <w:proofErr w:type="gramEnd"/>
      <w:r>
        <w:t>-41; quiz 42-43.</w:t>
      </w:r>
    </w:p>
  </w:endnote>
  <w:endnote w:id="18">
    <w:p w:rsidR="008027D6" w:rsidRPr="00C94C85" w:rsidRDefault="008027D6" w:rsidP="005C623E">
      <w:pPr>
        <w:pStyle w:val="EndnoteText"/>
        <w:jc w:val="both"/>
      </w:pPr>
      <w:r>
        <w:rPr>
          <w:rStyle w:val="EndnoteReference"/>
        </w:rPr>
        <w:endnoteRef/>
      </w:r>
      <w:r>
        <w:t xml:space="preserve"> Zuraw BL., Bork K, Binkley KE, </w:t>
      </w:r>
      <w:proofErr w:type="spellStart"/>
      <w:r>
        <w:t>Banerji</w:t>
      </w:r>
      <w:proofErr w:type="spellEnd"/>
      <w:r>
        <w:t xml:space="preserve"> A, Christiansen SC, </w:t>
      </w:r>
      <w:proofErr w:type="spellStart"/>
      <w:r>
        <w:t>Castaldo</w:t>
      </w:r>
      <w:proofErr w:type="spellEnd"/>
      <w:r>
        <w:t xml:space="preserve"> A., et al. Hereditary angioedema with normal C1 inhibitor function: consensus of an international expert panel. Allergy Asthma </w:t>
      </w:r>
      <w:proofErr w:type="spellStart"/>
      <w:r>
        <w:t>Proc</w:t>
      </w:r>
      <w:proofErr w:type="spellEnd"/>
      <w:r>
        <w:t xml:space="preserve"> 2012</w:t>
      </w:r>
      <w:proofErr w:type="gramStart"/>
      <w:r>
        <w:t>;33</w:t>
      </w:r>
      <w:proofErr w:type="gramEnd"/>
      <w:r>
        <w:t>(</w:t>
      </w:r>
      <w:proofErr w:type="spellStart"/>
      <w:r>
        <w:t>Suppl</w:t>
      </w:r>
      <w:proofErr w:type="spellEnd"/>
      <w:r>
        <w:t xml:space="preserve"> 1): S145-56.</w:t>
      </w:r>
    </w:p>
  </w:endnote>
  <w:endnote w:id="19">
    <w:p w:rsidR="008027D6" w:rsidRPr="00107C6D" w:rsidRDefault="008027D6" w:rsidP="005C623E">
      <w:pPr>
        <w:pStyle w:val="EndnoteText"/>
        <w:jc w:val="both"/>
      </w:pPr>
      <w:r>
        <w:rPr>
          <w:rStyle w:val="EndnoteReference"/>
        </w:rPr>
        <w:endnoteRef/>
      </w:r>
      <w:r>
        <w:t xml:space="preserve"> Nielsen – </w:t>
      </w:r>
      <w:proofErr w:type="spellStart"/>
      <w:r>
        <w:t>Bohlman</w:t>
      </w:r>
      <w:proofErr w:type="spellEnd"/>
      <w:r>
        <w:t xml:space="preserve"> L., Panzer AM, </w:t>
      </w:r>
      <w:proofErr w:type="spellStart"/>
      <w:r>
        <w:t>Kindig</w:t>
      </w:r>
      <w:proofErr w:type="spellEnd"/>
      <w:r>
        <w:t xml:space="preserve"> DA, editors. Health Literacy: A prescription to End Confusion, Washington DC: National Academics Press; 2004.</w:t>
      </w:r>
    </w:p>
  </w:endnote>
  <w:endnote w:id="20">
    <w:p w:rsidR="008027D6" w:rsidRDefault="008027D6" w:rsidP="005C623E">
      <w:pPr>
        <w:pStyle w:val="EndnoteText"/>
        <w:jc w:val="both"/>
      </w:pPr>
      <w:r>
        <w:rPr>
          <w:rStyle w:val="EndnoteReference"/>
        </w:rPr>
        <w:endnoteRef/>
      </w:r>
      <w:r>
        <w:t xml:space="preserve"> Craig T, </w:t>
      </w:r>
      <w:proofErr w:type="spellStart"/>
      <w:r>
        <w:t>Riedl</w:t>
      </w:r>
      <w:proofErr w:type="spellEnd"/>
      <w:r>
        <w:t xml:space="preserve"> M, </w:t>
      </w:r>
      <w:proofErr w:type="spellStart"/>
      <w:r>
        <w:t>Dykewicz</w:t>
      </w:r>
      <w:proofErr w:type="spellEnd"/>
      <w:r>
        <w:t xml:space="preserve"> MS, Gower RG, Baker J, Edelman FJ, et al</w:t>
      </w:r>
      <w:proofErr w:type="gramStart"/>
      <w:r>
        <w:t>..</w:t>
      </w:r>
      <w:proofErr w:type="gramEnd"/>
      <w:r>
        <w:t xml:space="preserve"> When is prophylactic for angioedema necessary? Ann Allergy Asthma </w:t>
      </w:r>
      <w:proofErr w:type="spellStart"/>
      <w:r>
        <w:t>Immunol</w:t>
      </w:r>
      <w:proofErr w:type="spellEnd"/>
      <w:r>
        <w:t xml:space="preserve"> 2009; 102:366-72.</w:t>
      </w:r>
    </w:p>
  </w:endnote>
  <w:endnote w:id="21">
    <w:p w:rsidR="008027D6" w:rsidRPr="00793810" w:rsidRDefault="008027D6" w:rsidP="005C623E">
      <w:pPr>
        <w:pStyle w:val="EndnoteText"/>
        <w:jc w:val="both"/>
      </w:pPr>
      <w:r>
        <w:rPr>
          <w:rStyle w:val="EndnoteReference"/>
        </w:rPr>
        <w:endnoteRef/>
      </w:r>
      <w:r>
        <w:t xml:space="preserve"> </w:t>
      </w:r>
      <w:proofErr w:type="spellStart"/>
      <w:r>
        <w:t>Tourangeau</w:t>
      </w:r>
      <w:proofErr w:type="spellEnd"/>
      <w:r>
        <w:t xml:space="preserve"> LM, </w:t>
      </w:r>
      <w:proofErr w:type="spellStart"/>
      <w:r>
        <w:t>Castaldo</w:t>
      </w:r>
      <w:proofErr w:type="spellEnd"/>
      <w:r>
        <w:t xml:space="preserve"> AJ, Davis DK, </w:t>
      </w:r>
      <w:proofErr w:type="spellStart"/>
      <w:r>
        <w:t>Koziol</w:t>
      </w:r>
      <w:proofErr w:type="spellEnd"/>
      <w:r>
        <w:t xml:space="preserve"> J, Christiansen SC, Zuraw BL, Safety and </w:t>
      </w:r>
      <w:proofErr w:type="spellStart"/>
      <w:r>
        <w:t>afficacy</w:t>
      </w:r>
      <w:proofErr w:type="spellEnd"/>
      <w:r>
        <w:t xml:space="preserve"> of physician-supervised self-managed c1 inhibitor replacement therapy, </w:t>
      </w:r>
      <w:proofErr w:type="spellStart"/>
      <w:r>
        <w:t>Int</w:t>
      </w:r>
      <w:proofErr w:type="spellEnd"/>
      <w:r>
        <w:t xml:space="preserve"> Arch Allergy </w:t>
      </w:r>
      <w:proofErr w:type="spellStart"/>
      <w:r>
        <w:t>Immunol</w:t>
      </w:r>
      <w:proofErr w:type="spellEnd"/>
      <w:r>
        <w:t xml:space="preserve"> 2012; 157:417-24.</w:t>
      </w:r>
    </w:p>
  </w:endnote>
  <w:endnote w:id="22">
    <w:p w:rsidR="008027D6" w:rsidRPr="00AF58B6" w:rsidRDefault="008027D6" w:rsidP="005C623E">
      <w:pPr>
        <w:pStyle w:val="EndnoteText"/>
        <w:jc w:val="both"/>
      </w:pPr>
      <w:r>
        <w:rPr>
          <w:rStyle w:val="EndnoteReference"/>
        </w:rPr>
        <w:endnoteRef/>
      </w:r>
      <w:r>
        <w:t xml:space="preserve"> </w:t>
      </w:r>
      <w:proofErr w:type="spellStart"/>
      <w:proofErr w:type="gramStart"/>
      <w:r>
        <w:t>Prematta</w:t>
      </w:r>
      <w:proofErr w:type="spellEnd"/>
      <w:r>
        <w:t xml:space="preserve"> MJ, </w:t>
      </w:r>
      <w:proofErr w:type="spellStart"/>
      <w:r>
        <w:t>Bewtra</w:t>
      </w:r>
      <w:proofErr w:type="spellEnd"/>
      <w:r>
        <w:t xml:space="preserve"> AK, Levy RJ, Wasserman RL, Jacobson KW, </w:t>
      </w:r>
      <w:proofErr w:type="spellStart"/>
      <w:r>
        <w:t>Maching</w:t>
      </w:r>
      <w:proofErr w:type="spellEnd"/>
      <w:r>
        <w:t xml:space="preserve"> T, et al. Per-attack reporting of prodromal symptoms concurrent with C1-inhibitor treatment of hereditary angioedema attacks.</w:t>
      </w:r>
      <w:proofErr w:type="gramEnd"/>
      <w:r>
        <w:t xml:space="preserve"> </w:t>
      </w:r>
      <w:proofErr w:type="spellStart"/>
      <w:r>
        <w:t>Adv</w:t>
      </w:r>
      <w:proofErr w:type="spellEnd"/>
      <w:r>
        <w:t xml:space="preserve"> </w:t>
      </w:r>
      <w:proofErr w:type="spellStart"/>
      <w:r>
        <w:t>Ther</w:t>
      </w:r>
      <w:proofErr w:type="spellEnd"/>
      <w:r>
        <w:t xml:space="preserve"> 2012;29:913-22</w:t>
      </w:r>
    </w:p>
  </w:endnote>
  <w:endnote w:id="23">
    <w:p w:rsidR="008027D6" w:rsidRPr="00A7261E" w:rsidRDefault="008027D6" w:rsidP="005C623E">
      <w:pPr>
        <w:pStyle w:val="EndnoteText"/>
        <w:jc w:val="both"/>
      </w:pPr>
      <w:r>
        <w:rPr>
          <w:rStyle w:val="EndnoteReference"/>
        </w:rPr>
        <w:endnoteRef/>
      </w:r>
      <w:r>
        <w:t xml:space="preserve"> </w:t>
      </w:r>
      <w:proofErr w:type="spellStart"/>
      <w:r>
        <w:t>Kusuma</w:t>
      </w:r>
      <w:proofErr w:type="spellEnd"/>
      <w:r>
        <w:t xml:space="preserve"> A, </w:t>
      </w:r>
      <w:proofErr w:type="spellStart"/>
      <w:r>
        <w:t>Relan</w:t>
      </w:r>
      <w:proofErr w:type="spellEnd"/>
      <w:r>
        <w:t xml:space="preserve"> A, </w:t>
      </w:r>
      <w:proofErr w:type="spellStart"/>
      <w:r>
        <w:t>Knulst</w:t>
      </w:r>
      <w:proofErr w:type="spellEnd"/>
      <w:r>
        <w:t xml:space="preserve"> AC, Moldovan D, Zuraw B, </w:t>
      </w:r>
      <w:proofErr w:type="spellStart"/>
      <w:r>
        <w:t>Cicardi</w:t>
      </w:r>
      <w:proofErr w:type="spellEnd"/>
      <w:r>
        <w:t xml:space="preserve"> M, et al. Clinical impact of peripheral attacks in hereditary angioedema patients. Am J Med 2012;125:937.e17-24</w:t>
      </w:r>
    </w:p>
  </w:endnote>
  <w:endnote w:id="24">
    <w:p w:rsidR="008027D6" w:rsidRDefault="008027D6" w:rsidP="005C623E">
      <w:pPr>
        <w:pStyle w:val="EndnoteText"/>
        <w:jc w:val="both"/>
      </w:pPr>
      <w:r>
        <w:rPr>
          <w:rStyle w:val="EndnoteReference"/>
        </w:rPr>
        <w:endnoteRef/>
      </w:r>
      <w:r>
        <w:t xml:space="preserve"> Frank MM, </w:t>
      </w:r>
      <w:proofErr w:type="spellStart"/>
      <w:r>
        <w:t>Sergent</w:t>
      </w:r>
      <w:proofErr w:type="spellEnd"/>
      <w:r>
        <w:t xml:space="preserve"> JS, Kane MA, </w:t>
      </w:r>
      <w:proofErr w:type="spellStart"/>
      <w:r>
        <w:t>Alling</w:t>
      </w:r>
      <w:proofErr w:type="spellEnd"/>
      <w:r>
        <w:t xml:space="preserve"> DW. </w:t>
      </w:r>
      <w:proofErr w:type="gramStart"/>
      <w:r>
        <w:t xml:space="preserve">Epsilon </w:t>
      </w:r>
      <w:proofErr w:type="spellStart"/>
      <w:r>
        <w:t>aminocaproic</w:t>
      </w:r>
      <w:proofErr w:type="spellEnd"/>
      <w:r>
        <w:t xml:space="preserve"> acid therapy of hereditary </w:t>
      </w:r>
      <w:proofErr w:type="spellStart"/>
      <w:r>
        <w:t>angioneurotic</w:t>
      </w:r>
      <w:proofErr w:type="spellEnd"/>
      <w:r>
        <w:t xml:space="preserve"> edema.</w:t>
      </w:r>
      <w:proofErr w:type="gramEnd"/>
      <w:r>
        <w:t xml:space="preserve"> </w:t>
      </w:r>
      <w:proofErr w:type="gramStart"/>
      <w:r>
        <w:t>A double-blind study.</w:t>
      </w:r>
      <w:proofErr w:type="gramEnd"/>
      <w:r>
        <w:t xml:space="preserve"> N </w:t>
      </w:r>
      <w:proofErr w:type="spellStart"/>
      <w:r>
        <w:t>Engl</w:t>
      </w:r>
      <w:proofErr w:type="spellEnd"/>
      <w:r>
        <w:t xml:space="preserve"> J Med 1972;286:808-12</w:t>
      </w:r>
    </w:p>
  </w:endnote>
  <w:endnote w:id="25">
    <w:p w:rsidR="008027D6" w:rsidRDefault="008027D6" w:rsidP="005C623E">
      <w:pPr>
        <w:pStyle w:val="EndnoteText"/>
        <w:jc w:val="both"/>
      </w:pPr>
      <w:r>
        <w:rPr>
          <w:rStyle w:val="EndnoteReference"/>
        </w:rPr>
        <w:endnoteRef/>
      </w:r>
      <w:r>
        <w:t xml:space="preserve"> </w:t>
      </w:r>
      <w:proofErr w:type="spellStart"/>
      <w:r>
        <w:t>Gadek</w:t>
      </w:r>
      <w:proofErr w:type="spellEnd"/>
      <w:r>
        <w:t xml:space="preserve"> JE, Hosea </w:t>
      </w:r>
      <w:proofErr w:type="spellStart"/>
      <w:r>
        <w:t>Sw</w:t>
      </w:r>
      <w:proofErr w:type="spellEnd"/>
      <w:r>
        <w:t xml:space="preserve">, </w:t>
      </w:r>
      <w:proofErr w:type="spellStart"/>
      <w:r>
        <w:t>Gelfand</w:t>
      </w:r>
      <w:proofErr w:type="spellEnd"/>
      <w:r>
        <w:t xml:space="preserve"> JA, </w:t>
      </w:r>
      <w:proofErr w:type="spellStart"/>
      <w:r>
        <w:t>Santaella</w:t>
      </w:r>
      <w:proofErr w:type="spellEnd"/>
      <w:r>
        <w:t xml:space="preserve"> M, </w:t>
      </w:r>
      <w:proofErr w:type="spellStart"/>
      <w:r>
        <w:t>Wickerhauser</w:t>
      </w:r>
      <w:proofErr w:type="spellEnd"/>
      <w:r>
        <w:t xml:space="preserve"> M, </w:t>
      </w:r>
      <w:proofErr w:type="spellStart"/>
      <w:r>
        <w:t>Triantaphyllopoulos</w:t>
      </w:r>
      <w:proofErr w:type="spellEnd"/>
      <w:r>
        <w:t xml:space="preserve"> DC, et al. Replacement therapy in hereditary angioedema. Successful treatment of acute episodes of angioedema with partly purified C1 inhibitor. N </w:t>
      </w:r>
      <w:proofErr w:type="spellStart"/>
      <w:r>
        <w:t>Engl</w:t>
      </w:r>
      <w:proofErr w:type="spellEnd"/>
      <w:r>
        <w:t xml:space="preserve"> J Med 1980;302:542-6</w:t>
      </w:r>
    </w:p>
  </w:endnote>
  <w:endnote w:id="26">
    <w:p w:rsidR="008027D6" w:rsidRDefault="008027D6" w:rsidP="005C623E">
      <w:pPr>
        <w:pStyle w:val="EndnoteText"/>
        <w:jc w:val="both"/>
      </w:pPr>
      <w:r>
        <w:rPr>
          <w:rStyle w:val="EndnoteReference"/>
        </w:rPr>
        <w:endnoteRef/>
      </w:r>
      <w:r>
        <w:t xml:space="preserve"> </w:t>
      </w:r>
      <w:proofErr w:type="spellStart"/>
      <w:proofErr w:type="gramStart"/>
      <w:r>
        <w:t>Gelfand</w:t>
      </w:r>
      <w:proofErr w:type="spellEnd"/>
      <w:r>
        <w:t xml:space="preserve"> JA, </w:t>
      </w:r>
      <w:proofErr w:type="spellStart"/>
      <w:r>
        <w:t>Sherins</w:t>
      </w:r>
      <w:proofErr w:type="spellEnd"/>
      <w:r>
        <w:t xml:space="preserve"> RJ, </w:t>
      </w:r>
      <w:proofErr w:type="spellStart"/>
      <w:r>
        <w:t>Alling</w:t>
      </w:r>
      <w:proofErr w:type="spellEnd"/>
      <w:r>
        <w:t xml:space="preserve"> DW, Frank MM. Treatment of hereditary angioedema with </w:t>
      </w:r>
      <w:proofErr w:type="spellStart"/>
      <w:r>
        <w:t>danazol</w:t>
      </w:r>
      <w:proofErr w:type="spellEnd"/>
      <w:r>
        <w:t>.</w:t>
      </w:r>
      <w:proofErr w:type="gramEnd"/>
      <w:r>
        <w:t xml:space="preserve"> N </w:t>
      </w:r>
      <w:proofErr w:type="spellStart"/>
      <w:r>
        <w:t>Engl</w:t>
      </w:r>
      <w:proofErr w:type="spellEnd"/>
      <w:r>
        <w:t xml:space="preserve"> J Med 1976;295:1444-8</w:t>
      </w:r>
    </w:p>
  </w:endnote>
  <w:endnote w:id="27">
    <w:p w:rsidR="008027D6" w:rsidRDefault="008027D6" w:rsidP="00C35DEF">
      <w:pPr>
        <w:pStyle w:val="EndnoteText"/>
        <w:jc w:val="both"/>
      </w:pPr>
      <w:r>
        <w:rPr>
          <w:rStyle w:val="EndnoteReference"/>
        </w:rPr>
        <w:endnoteRef/>
      </w:r>
      <w:r>
        <w:t xml:space="preserve"> </w:t>
      </w:r>
      <w:proofErr w:type="spellStart"/>
      <w:r>
        <w:t>Gadek</w:t>
      </w:r>
      <w:proofErr w:type="spellEnd"/>
      <w:r>
        <w:t xml:space="preserve"> JE, Hosea SW, </w:t>
      </w:r>
      <w:proofErr w:type="spellStart"/>
      <w:r>
        <w:t>Gelfand</w:t>
      </w:r>
      <w:proofErr w:type="spellEnd"/>
      <w:r>
        <w:t xml:space="preserve"> JA, Frank MM. Response of variant hereditary angioedema phenotypes to </w:t>
      </w:r>
      <w:proofErr w:type="spellStart"/>
      <w:r>
        <w:t>danazol</w:t>
      </w:r>
      <w:proofErr w:type="spellEnd"/>
      <w:r>
        <w:t xml:space="preserve"> therapy. </w:t>
      </w:r>
      <w:proofErr w:type="gramStart"/>
      <w:r>
        <w:t>Genetic implications.</w:t>
      </w:r>
      <w:proofErr w:type="gramEnd"/>
      <w:r>
        <w:t xml:space="preserve"> J </w:t>
      </w:r>
      <w:proofErr w:type="spellStart"/>
      <w:r>
        <w:t>Clin</w:t>
      </w:r>
      <w:proofErr w:type="spellEnd"/>
      <w:r>
        <w:t xml:space="preserve"> Invest 1979;64:280-6</w:t>
      </w:r>
    </w:p>
  </w:endnote>
  <w:endnote w:id="28">
    <w:p w:rsidR="008027D6" w:rsidRDefault="008027D6" w:rsidP="00C35DEF">
      <w:pPr>
        <w:pStyle w:val="EndnoteText"/>
        <w:jc w:val="both"/>
      </w:pPr>
      <w:r>
        <w:rPr>
          <w:rStyle w:val="EndnoteReference"/>
        </w:rPr>
        <w:endnoteRef/>
      </w:r>
      <w:r>
        <w:t xml:space="preserve"> Zuraw BL, </w:t>
      </w:r>
      <w:proofErr w:type="spellStart"/>
      <w:r>
        <w:t>Kalfus</w:t>
      </w:r>
      <w:proofErr w:type="spellEnd"/>
      <w:r>
        <w:t xml:space="preserve"> I. Safety and efficacy of prophylactic </w:t>
      </w:r>
      <w:proofErr w:type="spellStart"/>
      <w:r>
        <w:t>nanofiltered</w:t>
      </w:r>
      <w:proofErr w:type="spellEnd"/>
      <w:r>
        <w:t xml:space="preserve"> C1-inhibitor in hereditary angioedema. Am J Med 2012</w:t>
      </w:r>
      <w:proofErr w:type="gramStart"/>
      <w:r>
        <w:t>;125:938</w:t>
      </w:r>
      <w:proofErr w:type="gramEnd"/>
      <w:r>
        <w:t xml:space="preserve">. </w:t>
      </w:r>
      <w:proofErr w:type="gramStart"/>
      <w:r>
        <w:t>E1-7.</w:t>
      </w:r>
      <w:proofErr w:type="gramEnd"/>
    </w:p>
  </w:endnote>
  <w:endnote w:id="29">
    <w:p w:rsidR="008027D6" w:rsidRPr="00B94065" w:rsidRDefault="008027D6" w:rsidP="00740C2A">
      <w:pPr>
        <w:pStyle w:val="EndnoteText"/>
        <w:jc w:val="both"/>
      </w:pPr>
      <w:r>
        <w:rPr>
          <w:rStyle w:val="EndnoteReference"/>
        </w:rPr>
        <w:endnoteRef/>
      </w:r>
      <w:r>
        <w:t xml:space="preserve"> Bork K, </w:t>
      </w:r>
      <w:proofErr w:type="spellStart"/>
      <w:r>
        <w:t>Hardt</w:t>
      </w:r>
      <w:proofErr w:type="spellEnd"/>
      <w:r>
        <w:t xml:space="preserve"> J, </w:t>
      </w:r>
      <w:proofErr w:type="spellStart"/>
      <w:r>
        <w:t>Staubach-Renz</w:t>
      </w:r>
      <w:proofErr w:type="spellEnd"/>
      <w:r>
        <w:t xml:space="preserve"> P, </w:t>
      </w:r>
      <w:proofErr w:type="spellStart"/>
      <w:r>
        <w:t>Witzke</w:t>
      </w:r>
      <w:proofErr w:type="spellEnd"/>
      <w:r>
        <w:t xml:space="preserve"> G. Risk of laryngeal edema and facial swellings after tooth extraction in patients with hereditary angioedema with and without prophylaxis with C1 inhibitor concentrate: a retrospective study. Oral </w:t>
      </w:r>
      <w:proofErr w:type="spellStart"/>
      <w:r>
        <w:t>Surg</w:t>
      </w:r>
      <w:proofErr w:type="spellEnd"/>
      <w:r>
        <w:t xml:space="preserve"> Oral Med Oral </w:t>
      </w:r>
      <w:proofErr w:type="spellStart"/>
      <w:r>
        <w:t>Pathol</w:t>
      </w:r>
      <w:proofErr w:type="spellEnd"/>
      <w:r>
        <w:t xml:space="preserve"> Oral </w:t>
      </w:r>
      <w:proofErr w:type="spellStart"/>
      <w:r>
        <w:t>Radiol</w:t>
      </w:r>
      <w:proofErr w:type="spellEnd"/>
      <w:r>
        <w:t xml:space="preserve"> </w:t>
      </w:r>
      <w:proofErr w:type="spellStart"/>
      <w:r>
        <w:t>Endod</w:t>
      </w:r>
      <w:proofErr w:type="spellEnd"/>
      <w:r>
        <w:t xml:space="preserve"> 2011</w:t>
      </w:r>
      <w:proofErr w:type="gramStart"/>
      <w:r>
        <w:t>;112:58</w:t>
      </w:r>
      <w:proofErr w:type="gramEnd"/>
      <w:r>
        <w:t>-64.</w:t>
      </w:r>
    </w:p>
  </w:endnote>
  <w:endnote w:id="30">
    <w:p w:rsidR="008027D6" w:rsidRPr="00F670C2" w:rsidRDefault="008027D6" w:rsidP="00740C2A">
      <w:pPr>
        <w:pStyle w:val="EndnoteText"/>
        <w:jc w:val="both"/>
      </w:pPr>
      <w:r>
        <w:rPr>
          <w:rStyle w:val="EndnoteReference"/>
        </w:rPr>
        <w:endnoteRef/>
      </w:r>
      <w:r>
        <w:t xml:space="preserve"> </w:t>
      </w:r>
      <w:proofErr w:type="spellStart"/>
      <w:r>
        <w:t>Yoo</w:t>
      </w:r>
      <w:proofErr w:type="spellEnd"/>
      <w:r>
        <w:t xml:space="preserve"> SM, Khan DA. Implantable venous access device associated complications in patients with hereditary angioedema. J Allergy </w:t>
      </w:r>
      <w:proofErr w:type="spellStart"/>
      <w:r>
        <w:t>Clin</w:t>
      </w:r>
      <w:proofErr w:type="spellEnd"/>
      <w:r>
        <w:t xml:space="preserve"> </w:t>
      </w:r>
      <w:proofErr w:type="spellStart"/>
      <w:r>
        <w:t>Immunol</w:t>
      </w:r>
      <w:proofErr w:type="spellEnd"/>
      <w:r>
        <w:t>: In Practice 2013;1:524-5</w:t>
      </w:r>
    </w:p>
  </w:endnote>
  <w:endnote w:id="31">
    <w:p w:rsidR="008027D6" w:rsidRPr="001F4237" w:rsidRDefault="008027D6" w:rsidP="00740C2A">
      <w:pPr>
        <w:pStyle w:val="EndnoteText"/>
        <w:jc w:val="both"/>
      </w:pPr>
      <w:r>
        <w:rPr>
          <w:rStyle w:val="EndnoteReference"/>
        </w:rPr>
        <w:endnoteRef/>
      </w:r>
      <w:r>
        <w:t xml:space="preserve"> </w:t>
      </w:r>
      <w:proofErr w:type="spellStart"/>
      <w:r>
        <w:t>Winnewisser</w:t>
      </w:r>
      <w:proofErr w:type="spellEnd"/>
      <w:r>
        <w:t xml:space="preserve"> J, Rossi M, </w:t>
      </w:r>
      <w:proofErr w:type="spellStart"/>
      <w:r>
        <w:t>Spath</w:t>
      </w:r>
      <w:proofErr w:type="spellEnd"/>
      <w:r>
        <w:t xml:space="preserve"> P, </w:t>
      </w:r>
      <w:proofErr w:type="spellStart"/>
      <w:r>
        <w:t>Burgi</w:t>
      </w:r>
      <w:proofErr w:type="spellEnd"/>
      <w:r>
        <w:t xml:space="preserve"> H. Type I hereditary </w:t>
      </w:r>
      <w:proofErr w:type="spellStart"/>
      <w:r>
        <w:t>angio</w:t>
      </w:r>
      <w:proofErr w:type="spellEnd"/>
      <w:r>
        <w:t xml:space="preserve">-edema. </w:t>
      </w:r>
      <w:proofErr w:type="gramStart"/>
      <w:r>
        <w:t xml:space="preserve">Variability of clinical presentation and course within two large </w:t>
      </w:r>
      <w:proofErr w:type="spellStart"/>
      <w:r>
        <w:t>kindreds</w:t>
      </w:r>
      <w:proofErr w:type="spellEnd"/>
      <w:r>
        <w:t>.</w:t>
      </w:r>
      <w:proofErr w:type="gramEnd"/>
      <w:r>
        <w:t xml:space="preserve"> J </w:t>
      </w:r>
      <w:proofErr w:type="spellStart"/>
      <w:r>
        <w:t>Intem</w:t>
      </w:r>
      <w:proofErr w:type="spellEnd"/>
      <w:r>
        <w:t xml:space="preserve"> Med 1997</w:t>
      </w:r>
      <w:proofErr w:type="gramStart"/>
      <w:r>
        <w:t>;241:39</w:t>
      </w:r>
      <w:proofErr w:type="gramEnd"/>
      <w:r>
        <w:t>-46.</w:t>
      </w:r>
    </w:p>
  </w:endnote>
  <w:endnote w:id="32">
    <w:p w:rsidR="008027D6" w:rsidRPr="00D22895" w:rsidRDefault="008027D6" w:rsidP="00740C2A">
      <w:pPr>
        <w:pStyle w:val="EndnoteText"/>
        <w:jc w:val="both"/>
      </w:pPr>
      <w:r>
        <w:rPr>
          <w:rStyle w:val="EndnoteReference"/>
        </w:rPr>
        <w:endnoteRef/>
      </w:r>
      <w:r>
        <w:t xml:space="preserve"> Zuraw B, </w:t>
      </w:r>
      <w:proofErr w:type="spellStart"/>
      <w:r>
        <w:t>Cicardi</w:t>
      </w:r>
      <w:proofErr w:type="spellEnd"/>
      <w:r>
        <w:t xml:space="preserve"> M, Levy RJ, </w:t>
      </w:r>
      <w:proofErr w:type="spellStart"/>
      <w:r>
        <w:t>Nuijens</w:t>
      </w:r>
      <w:proofErr w:type="spellEnd"/>
      <w:r>
        <w:t xml:space="preserve"> JH, </w:t>
      </w:r>
      <w:proofErr w:type="spellStart"/>
      <w:r>
        <w:t>Relan</w:t>
      </w:r>
      <w:proofErr w:type="spellEnd"/>
      <w:r>
        <w:t xml:space="preserve"> A, </w:t>
      </w:r>
      <w:proofErr w:type="spellStart"/>
      <w:r>
        <w:t>Visscher</w:t>
      </w:r>
      <w:proofErr w:type="spellEnd"/>
      <w:r>
        <w:t xml:space="preserve"> S, et al. Recombinant human C1-inhibitor for the treatment of acute angioedema attacks in patients with hereditary angioedema. J Allergy </w:t>
      </w:r>
      <w:proofErr w:type="spellStart"/>
      <w:r>
        <w:t>Clin</w:t>
      </w:r>
      <w:proofErr w:type="spellEnd"/>
      <w:r>
        <w:t xml:space="preserve"> </w:t>
      </w:r>
      <w:proofErr w:type="spellStart"/>
      <w:r>
        <w:t>Immunol</w:t>
      </w:r>
      <w:proofErr w:type="spellEnd"/>
      <w:r>
        <w:t xml:space="preserve"> 2010</w:t>
      </w:r>
      <w:proofErr w:type="gramStart"/>
      <w:r>
        <w:t>;126:821</w:t>
      </w:r>
      <w:proofErr w:type="gramEnd"/>
      <w:r>
        <w:t>-7.e14.</w:t>
      </w:r>
    </w:p>
  </w:endnote>
  <w:endnote w:id="33">
    <w:p w:rsidR="008027D6" w:rsidRPr="00D22895" w:rsidRDefault="008027D6" w:rsidP="00D857A0">
      <w:pPr>
        <w:pStyle w:val="EndnoteText"/>
        <w:jc w:val="both"/>
      </w:pPr>
      <w:r>
        <w:rPr>
          <w:rStyle w:val="EndnoteReference"/>
        </w:rPr>
        <w:endnoteRef/>
      </w:r>
      <w:r>
        <w:t xml:space="preserve"> Levi M, Choi G, </w:t>
      </w:r>
      <w:proofErr w:type="spellStart"/>
      <w:r>
        <w:t>Picavet</w:t>
      </w:r>
      <w:proofErr w:type="spellEnd"/>
      <w:r>
        <w:t xml:space="preserve"> C, Hack CE, Self-administration of C1 inhibitor concentrate in patients with hereditary or acquired angioedema caused by C1-inhibitor deficiency. J Allergy </w:t>
      </w:r>
      <w:proofErr w:type="spellStart"/>
      <w:r>
        <w:t>Clin</w:t>
      </w:r>
      <w:proofErr w:type="spellEnd"/>
      <w:r>
        <w:t xml:space="preserve"> </w:t>
      </w:r>
      <w:proofErr w:type="spellStart"/>
      <w:r>
        <w:t>Immunol</w:t>
      </w:r>
      <w:proofErr w:type="spellEnd"/>
      <w:r>
        <w:t xml:space="preserve"> 2006;117:904-8</w:t>
      </w:r>
    </w:p>
  </w:endnote>
  <w:endnote w:id="34">
    <w:p w:rsidR="008027D6" w:rsidRPr="00D22895" w:rsidRDefault="008027D6" w:rsidP="00D857A0">
      <w:pPr>
        <w:pStyle w:val="EndnoteText"/>
        <w:jc w:val="both"/>
      </w:pPr>
      <w:r>
        <w:rPr>
          <w:rStyle w:val="EndnoteReference"/>
        </w:rPr>
        <w:endnoteRef/>
      </w:r>
      <w:r>
        <w:t xml:space="preserve"> </w:t>
      </w:r>
      <w:proofErr w:type="spellStart"/>
      <w:r>
        <w:t>Sheffer</w:t>
      </w:r>
      <w:proofErr w:type="spellEnd"/>
      <w:r>
        <w:t xml:space="preserve"> AI., Campion M, Levy RJ, Li HH, </w:t>
      </w:r>
      <w:proofErr w:type="spellStart"/>
      <w:r>
        <w:t>Hom</w:t>
      </w:r>
      <w:proofErr w:type="spellEnd"/>
      <w:r>
        <w:t xml:space="preserve"> PT, Pullman WE </w:t>
      </w:r>
      <w:proofErr w:type="spellStart"/>
      <w:r>
        <w:t>Ecallantide</w:t>
      </w:r>
      <w:proofErr w:type="spellEnd"/>
      <w:r>
        <w:t xml:space="preserve"> (DX-88) for acute hereditary angioedema attacks: integrated analysis of 2 double-blind, phase 3 studies. J Allergy </w:t>
      </w:r>
      <w:proofErr w:type="spellStart"/>
      <w:r>
        <w:t>Clin</w:t>
      </w:r>
      <w:proofErr w:type="spellEnd"/>
      <w:r>
        <w:t xml:space="preserve"> </w:t>
      </w:r>
      <w:proofErr w:type="spellStart"/>
      <w:r>
        <w:t>Immunol</w:t>
      </w:r>
      <w:proofErr w:type="spellEnd"/>
      <w:r>
        <w:t xml:space="preserve"> 2011</w:t>
      </w:r>
      <w:proofErr w:type="gramStart"/>
      <w:r>
        <w:t>;128:153</w:t>
      </w:r>
      <w:proofErr w:type="gramEnd"/>
      <w:r>
        <w:t>-9.e4.</w:t>
      </w:r>
    </w:p>
  </w:endnote>
  <w:endnote w:id="35">
    <w:p w:rsidR="008027D6" w:rsidRPr="00D22895" w:rsidRDefault="008027D6" w:rsidP="00D857A0">
      <w:pPr>
        <w:pStyle w:val="EndnoteText"/>
        <w:jc w:val="both"/>
      </w:pPr>
      <w:r>
        <w:rPr>
          <w:rStyle w:val="EndnoteReference"/>
        </w:rPr>
        <w:endnoteRef/>
      </w:r>
      <w:r>
        <w:t xml:space="preserve"> Bork K, </w:t>
      </w:r>
      <w:proofErr w:type="spellStart"/>
      <w:r>
        <w:t>Ressel</w:t>
      </w:r>
      <w:proofErr w:type="spellEnd"/>
      <w:r>
        <w:t xml:space="preserve"> N. Sudden upper airway obstruction in patients with hereditary angioedema. </w:t>
      </w:r>
      <w:proofErr w:type="spellStart"/>
      <w:r>
        <w:t>Transus</w:t>
      </w:r>
      <w:proofErr w:type="spellEnd"/>
      <w:r>
        <w:t xml:space="preserve"> Apheresis </w:t>
      </w:r>
      <w:proofErr w:type="spellStart"/>
      <w:r>
        <w:t>Sci</w:t>
      </w:r>
      <w:proofErr w:type="spellEnd"/>
      <w:r>
        <w:t xml:space="preserve"> 2003</w:t>
      </w:r>
      <w:proofErr w:type="gramStart"/>
      <w:r>
        <w:t>;29:235</w:t>
      </w:r>
      <w:proofErr w:type="gramEnd"/>
      <w:r>
        <w:t>-8.</w:t>
      </w:r>
    </w:p>
  </w:endnote>
  <w:endnote w:id="36">
    <w:p w:rsidR="008027D6" w:rsidRPr="00D22895" w:rsidRDefault="008027D6" w:rsidP="00D857A0">
      <w:pPr>
        <w:pStyle w:val="EndnoteText"/>
        <w:jc w:val="both"/>
      </w:pPr>
      <w:r>
        <w:rPr>
          <w:rStyle w:val="EndnoteReference"/>
        </w:rPr>
        <w:endnoteRef/>
      </w:r>
      <w:r>
        <w:t xml:space="preserve"> </w:t>
      </w:r>
      <w:proofErr w:type="spellStart"/>
      <w:r>
        <w:t>Longhurst</w:t>
      </w:r>
      <w:proofErr w:type="spellEnd"/>
      <w:r>
        <w:t xml:space="preserve"> HJ, </w:t>
      </w:r>
      <w:proofErr w:type="spellStart"/>
      <w:r>
        <w:t>Farkas</w:t>
      </w:r>
      <w:proofErr w:type="spellEnd"/>
      <w:r>
        <w:t xml:space="preserve"> H, Craig T, </w:t>
      </w:r>
      <w:proofErr w:type="spellStart"/>
      <w:r>
        <w:t>Aygoren-Pursun</w:t>
      </w:r>
      <w:proofErr w:type="spellEnd"/>
      <w:r>
        <w:t xml:space="preserve"> E, Bethune C, </w:t>
      </w:r>
      <w:proofErr w:type="spellStart"/>
      <w:r>
        <w:t>Bjorkander</w:t>
      </w:r>
      <w:proofErr w:type="spellEnd"/>
      <w:r>
        <w:t xml:space="preserve"> J, et al. HAE international home therapy consensus document. Allergy Asthma </w:t>
      </w:r>
      <w:proofErr w:type="spellStart"/>
      <w:r>
        <w:t>Clin</w:t>
      </w:r>
      <w:proofErr w:type="spellEnd"/>
      <w:r>
        <w:t xml:space="preserve"> </w:t>
      </w:r>
      <w:proofErr w:type="spellStart"/>
      <w:r>
        <w:t>Immunol</w:t>
      </w:r>
      <w:proofErr w:type="spellEnd"/>
      <w:r>
        <w:t xml:space="preserve"> 2010</w:t>
      </w:r>
      <w:proofErr w:type="gramStart"/>
      <w:r>
        <w:t>;6:22</w:t>
      </w:r>
      <w:proofErr w:type="gramEnd"/>
      <w:r>
        <w:t>.</w:t>
      </w:r>
    </w:p>
  </w:endnote>
  <w:endnote w:id="37">
    <w:p w:rsidR="008027D6" w:rsidRPr="00740C2A" w:rsidRDefault="008027D6">
      <w:pPr>
        <w:pStyle w:val="EndnoteText"/>
      </w:pPr>
      <w:r>
        <w:rPr>
          <w:rStyle w:val="EndnoteReference"/>
        </w:rPr>
        <w:endnoteRef/>
      </w:r>
      <w:r>
        <w:t xml:space="preserve"> </w:t>
      </w:r>
      <w:proofErr w:type="spellStart"/>
      <w:proofErr w:type="gramStart"/>
      <w:r>
        <w:t>Farkas</w:t>
      </w:r>
      <w:proofErr w:type="spellEnd"/>
      <w:r>
        <w:t xml:space="preserve"> H. Pediatric hereditary angioedema due to C1-inhibitor deficiency.</w:t>
      </w:r>
      <w:proofErr w:type="gramEnd"/>
      <w:r>
        <w:t xml:space="preserve"> Allergy Asthma </w:t>
      </w:r>
      <w:proofErr w:type="spellStart"/>
      <w:r>
        <w:t>Clin</w:t>
      </w:r>
      <w:proofErr w:type="spellEnd"/>
      <w:r>
        <w:t xml:space="preserve"> </w:t>
      </w:r>
      <w:proofErr w:type="spellStart"/>
      <w:r>
        <w:t>Immunol</w:t>
      </w:r>
      <w:proofErr w:type="spellEnd"/>
      <w:r>
        <w:t xml:space="preserve"> 2010</w:t>
      </w:r>
      <w:proofErr w:type="gramStart"/>
      <w:r>
        <w:t>;6:18</w:t>
      </w:r>
      <w:proofErr w:type="gram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E0" w:rsidRDefault="00B65FE0" w:rsidP="00005B93">
      <w:pPr>
        <w:spacing w:after="0" w:line="240" w:lineRule="auto"/>
      </w:pPr>
      <w:r>
        <w:separator/>
      </w:r>
    </w:p>
  </w:footnote>
  <w:footnote w:type="continuationSeparator" w:id="0">
    <w:p w:rsidR="00B65FE0" w:rsidRDefault="00B65FE0" w:rsidP="00005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61319"/>
    <w:multiLevelType w:val="multilevel"/>
    <w:tmpl w:val="147C4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9A"/>
    <w:rsid w:val="000028AF"/>
    <w:rsid w:val="00005B93"/>
    <w:rsid w:val="000070EE"/>
    <w:rsid w:val="000446A9"/>
    <w:rsid w:val="00056A26"/>
    <w:rsid w:val="000732DE"/>
    <w:rsid w:val="00077E9F"/>
    <w:rsid w:val="00092AE3"/>
    <w:rsid w:val="000B3068"/>
    <w:rsid w:val="000C4DD8"/>
    <w:rsid w:val="000D42A7"/>
    <w:rsid w:val="000F584B"/>
    <w:rsid w:val="00103DEB"/>
    <w:rsid w:val="00107C6D"/>
    <w:rsid w:val="0013060A"/>
    <w:rsid w:val="00135EF4"/>
    <w:rsid w:val="00144A36"/>
    <w:rsid w:val="00146B12"/>
    <w:rsid w:val="001574E3"/>
    <w:rsid w:val="0018448B"/>
    <w:rsid w:val="00184626"/>
    <w:rsid w:val="001860B6"/>
    <w:rsid w:val="001B1B8E"/>
    <w:rsid w:val="001B78C2"/>
    <w:rsid w:val="001C7696"/>
    <w:rsid w:val="001D2D52"/>
    <w:rsid w:val="001F4237"/>
    <w:rsid w:val="002655CB"/>
    <w:rsid w:val="002A4E1B"/>
    <w:rsid w:val="002A63E5"/>
    <w:rsid w:val="002A6940"/>
    <w:rsid w:val="002B0165"/>
    <w:rsid w:val="002B0B53"/>
    <w:rsid w:val="002D56ED"/>
    <w:rsid w:val="002E02BC"/>
    <w:rsid w:val="002E7E21"/>
    <w:rsid w:val="002F19CA"/>
    <w:rsid w:val="00300E0D"/>
    <w:rsid w:val="003109A8"/>
    <w:rsid w:val="00324C2A"/>
    <w:rsid w:val="00356F58"/>
    <w:rsid w:val="003623AF"/>
    <w:rsid w:val="00364770"/>
    <w:rsid w:val="003A04C0"/>
    <w:rsid w:val="003D3959"/>
    <w:rsid w:val="004015C7"/>
    <w:rsid w:val="004057EF"/>
    <w:rsid w:val="00413810"/>
    <w:rsid w:val="004240FB"/>
    <w:rsid w:val="00444B1F"/>
    <w:rsid w:val="00462257"/>
    <w:rsid w:val="004653B2"/>
    <w:rsid w:val="00496B11"/>
    <w:rsid w:val="004A7F79"/>
    <w:rsid w:val="004C2FB9"/>
    <w:rsid w:val="004F3C72"/>
    <w:rsid w:val="00507602"/>
    <w:rsid w:val="0053349C"/>
    <w:rsid w:val="00540668"/>
    <w:rsid w:val="00552ED5"/>
    <w:rsid w:val="00580FDB"/>
    <w:rsid w:val="00584D04"/>
    <w:rsid w:val="005911E1"/>
    <w:rsid w:val="00593450"/>
    <w:rsid w:val="005A2711"/>
    <w:rsid w:val="005B0986"/>
    <w:rsid w:val="005C623E"/>
    <w:rsid w:val="0063392B"/>
    <w:rsid w:val="0067663A"/>
    <w:rsid w:val="006838A4"/>
    <w:rsid w:val="0069388D"/>
    <w:rsid w:val="006A726F"/>
    <w:rsid w:val="006B21F2"/>
    <w:rsid w:val="006C4AA7"/>
    <w:rsid w:val="006D7FD0"/>
    <w:rsid w:val="006E39F2"/>
    <w:rsid w:val="006E755A"/>
    <w:rsid w:val="006F4076"/>
    <w:rsid w:val="00704C00"/>
    <w:rsid w:val="00726264"/>
    <w:rsid w:val="007316A2"/>
    <w:rsid w:val="00735D49"/>
    <w:rsid w:val="00737328"/>
    <w:rsid w:val="00740C2A"/>
    <w:rsid w:val="007772F9"/>
    <w:rsid w:val="00781D70"/>
    <w:rsid w:val="00793810"/>
    <w:rsid w:val="007A6FB1"/>
    <w:rsid w:val="007B3C48"/>
    <w:rsid w:val="007C5F32"/>
    <w:rsid w:val="007D1220"/>
    <w:rsid w:val="007E13C3"/>
    <w:rsid w:val="007E3E5D"/>
    <w:rsid w:val="007F03FA"/>
    <w:rsid w:val="007F40FC"/>
    <w:rsid w:val="008027D6"/>
    <w:rsid w:val="0081736F"/>
    <w:rsid w:val="00857EED"/>
    <w:rsid w:val="00875948"/>
    <w:rsid w:val="008805BA"/>
    <w:rsid w:val="00891C24"/>
    <w:rsid w:val="008B584C"/>
    <w:rsid w:val="008C484C"/>
    <w:rsid w:val="008E08B3"/>
    <w:rsid w:val="00900424"/>
    <w:rsid w:val="00912A9A"/>
    <w:rsid w:val="00924A8A"/>
    <w:rsid w:val="00924DEC"/>
    <w:rsid w:val="0094088E"/>
    <w:rsid w:val="00942F6B"/>
    <w:rsid w:val="00953B12"/>
    <w:rsid w:val="009C2EB0"/>
    <w:rsid w:val="009D3545"/>
    <w:rsid w:val="009D5B9D"/>
    <w:rsid w:val="009D7D82"/>
    <w:rsid w:val="009F3323"/>
    <w:rsid w:val="009F3C28"/>
    <w:rsid w:val="00A27A65"/>
    <w:rsid w:val="00A3182B"/>
    <w:rsid w:val="00A46301"/>
    <w:rsid w:val="00A61296"/>
    <w:rsid w:val="00A7261E"/>
    <w:rsid w:val="00A73953"/>
    <w:rsid w:val="00A75192"/>
    <w:rsid w:val="00AA259F"/>
    <w:rsid w:val="00AA4995"/>
    <w:rsid w:val="00AA4EE2"/>
    <w:rsid w:val="00AE7EFB"/>
    <w:rsid w:val="00AF58B6"/>
    <w:rsid w:val="00AF6EF3"/>
    <w:rsid w:val="00B065A0"/>
    <w:rsid w:val="00B32B3F"/>
    <w:rsid w:val="00B47C92"/>
    <w:rsid w:val="00B519C5"/>
    <w:rsid w:val="00B52485"/>
    <w:rsid w:val="00B64074"/>
    <w:rsid w:val="00B65FE0"/>
    <w:rsid w:val="00B73C9A"/>
    <w:rsid w:val="00B803E5"/>
    <w:rsid w:val="00B86E13"/>
    <w:rsid w:val="00B90499"/>
    <w:rsid w:val="00B94065"/>
    <w:rsid w:val="00BB6F3F"/>
    <w:rsid w:val="00BC35C0"/>
    <w:rsid w:val="00BD1A95"/>
    <w:rsid w:val="00BE0291"/>
    <w:rsid w:val="00BF4F60"/>
    <w:rsid w:val="00C024EF"/>
    <w:rsid w:val="00C35825"/>
    <w:rsid w:val="00C35DEF"/>
    <w:rsid w:val="00C46B10"/>
    <w:rsid w:val="00C5176D"/>
    <w:rsid w:val="00C52D29"/>
    <w:rsid w:val="00C614F2"/>
    <w:rsid w:val="00C62B2A"/>
    <w:rsid w:val="00C656BF"/>
    <w:rsid w:val="00C72F74"/>
    <w:rsid w:val="00C73537"/>
    <w:rsid w:val="00C75731"/>
    <w:rsid w:val="00C94C85"/>
    <w:rsid w:val="00C96172"/>
    <w:rsid w:val="00CA1154"/>
    <w:rsid w:val="00CB6B3B"/>
    <w:rsid w:val="00CD243D"/>
    <w:rsid w:val="00CD27F8"/>
    <w:rsid w:val="00CE324C"/>
    <w:rsid w:val="00D216D0"/>
    <w:rsid w:val="00D22895"/>
    <w:rsid w:val="00D24621"/>
    <w:rsid w:val="00D27197"/>
    <w:rsid w:val="00D36587"/>
    <w:rsid w:val="00D42B59"/>
    <w:rsid w:val="00D43706"/>
    <w:rsid w:val="00D5302E"/>
    <w:rsid w:val="00D67248"/>
    <w:rsid w:val="00D702B5"/>
    <w:rsid w:val="00D824B0"/>
    <w:rsid w:val="00D857A0"/>
    <w:rsid w:val="00DB1176"/>
    <w:rsid w:val="00DE7265"/>
    <w:rsid w:val="00E11360"/>
    <w:rsid w:val="00E2115D"/>
    <w:rsid w:val="00E33661"/>
    <w:rsid w:val="00E47F3B"/>
    <w:rsid w:val="00E76CF8"/>
    <w:rsid w:val="00E76D3B"/>
    <w:rsid w:val="00E81486"/>
    <w:rsid w:val="00EA1B91"/>
    <w:rsid w:val="00EA525F"/>
    <w:rsid w:val="00EC0E26"/>
    <w:rsid w:val="00EC47A8"/>
    <w:rsid w:val="00ED697A"/>
    <w:rsid w:val="00EE557C"/>
    <w:rsid w:val="00F12EC8"/>
    <w:rsid w:val="00F13A79"/>
    <w:rsid w:val="00F23392"/>
    <w:rsid w:val="00F326BD"/>
    <w:rsid w:val="00F608AE"/>
    <w:rsid w:val="00F6450B"/>
    <w:rsid w:val="00F670C2"/>
    <w:rsid w:val="00FA4F87"/>
    <w:rsid w:val="00FA6FFB"/>
    <w:rsid w:val="00FB7426"/>
    <w:rsid w:val="00FC600B"/>
    <w:rsid w:val="00FD23B2"/>
    <w:rsid w:val="00FE6F42"/>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94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99"/>
    <w:rPr>
      <w:rFonts w:ascii="Tahoma" w:hAnsi="Tahoma" w:cs="Tahoma"/>
      <w:sz w:val="16"/>
      <w:szCs w:val="16"/>
    </w:rPr>
  </w:style>
  <w:style w:type="paragraph" w:styleId="EndnoteText">
    <w:name w:val="endnote text"/>
    <w:basedOn w:val="Normal"/>
    <w:link w:val="EndnoteTextChar"/>
    <w:uiPriority w:val="99"/>
    <w:semiHidden/>
    <w:unhideWhenUsed/>
    <w:rsid w:val="00005B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B93"/>
    <w:rPr>
      <w:sz w:val="20"/>
      <w:szCs w:val="20"/>
    </w:rPr>
  </w:style>
  <w:style w:type="character" w:styleId="EndnoteReference">
    <w:name w:val="endnote reference"/>
    <w:basedOn w:val="DefaultParagraphFont"/>
    <w:uiPriority w:val="99"/>
    <w:semiHidden/>
    <w:unhideWhenUsed/>
    <w:rsid w:val="00005B93"/>
    <w:rPr>
      <w:vertAlign w:val="superscript"/>
    </w:rPr>
  </w:style>
  <w:style w:type="character" w:customStyle="1" w:styleId="Heading1Char">
    <w:name w:val="Heading 1 Char"/>
    <w:basedOn w:val="DefaultParagraphFont"/>
    <w:link w:val="Heading1"/>
    <w:uiPriority w:val="9"/>
    <w:rsid w:val="00875948"/>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53349C"/>
    <w:pPr>
      <w:ind w:left="720"/>
      <w:contextualSpacing/>
    </w:pPr>
  </w:style>
  <w:style w:type="character" w:styleId="Hyperlink">
    <w:name w:val="Hyperlink"/>
    <w:basedOn w:val="DefaultParagraphFont"/>
    <w:uiPriority w:val="99"/>
    <w:unhideWhenUsed/>
    <w:rsid w:val="004057EF"/>
    <w:rPr>
      <w:color w:val="0000FF" w:themeColor="hyperlink"/>
      <w:u w:val="single"/>
    </w:rPr>
  </w:style>
  <w:style w:type="table" w:customStyle="1" w:styleId="TableGrid1">
    <w:name w:val="Table Grid1"/>
    <w:basedOn w:val="TableNormal"/>
    <w:next w:val="TableGrid"/>
    <w:uiPriority w:val="59"/>
    <w:rsid w:val="008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94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99"/>
    <w:rPr>
      <w:rFonts w:ascii="Tahoma" w:hAnsi="Tahoma" w:cs="Tahoma"/>
      <w:sz w:val="16"/>
      <w:szCs w:val="16"/>
    </w:rPr>
  </w:style>
  <w:style w:type="paragraph" w:styleId="EndnoteText">
    <w:name w:val="endnote text"/>
    <w:basedOn w:val="Normal"/>
    <w:link w:val="EndnoteTextChar"/>
    <w:uiPriority w:val="99"/>
    <w:semiHidden/>
    <w:unhideWhenUsed/>
    <w:rsid w:val="00005B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B93"/>
    <w:rPr>
      <w:sz w:val="20"/>
      <w:szCs w:val="20"/>
    </w:rPr>
  </w:style>
  <w:style w:type="character" w:styleId="EndnoteReference">
    <w:name w:val="endnote reference"/>
    <w:basedOn w:val="DefaultParagraphFont"/>
    <w:uiPriority w:val="99"/>
    <w:semiHidden/>
    <w:unhideWhenUsed/>
    <w:rsid w:val="00005B93"/>
    <w:rPr>
      <w:vertAlign w:val="superscript"/>
    </w:rPr>
  </w:style>
  <w:style w:type="character" w:customStyle="1" w:styleId="Heading1Char">
    <w:name w:val="Heading 1 Char"/>
    <w:basedOn w:val="DefaultParagraphFont"/>
    <w:link w:val="Heading1"/>
    <w:uiPriority w:val="9"/>
    <w:rsid w:val="00875948"/>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53349C"/>
    <w:pPr>
      <w:ind w:left="720"/>
      <w:contextualSpacing/>
    </w:pPr>
  </w:style>
  <w:style w:type="character" w:styleId="Hyperlink">
    <w:name w:val="Hyperlink"/>
    <w:basedOn w:val="DefaultParagraphFont"/>
    <w:uiPriority w:val="99"/>
    <w:unhideWhenUsed/>
    <w:rsid w:val="004057EF"/>
    <w:rPr>
      <w:color w:val="0000FF" w:themeColor="hyperlink"/>
      <w:u w:val="single"/>
    </w:rPr>
  </w:style>
  <w:style w:type="table" w:customStyle="1" w:styleId="TableGrid1">
    <w:name w:val="Table Grid1"/>
    <w:basedOn w:val="TableNormal"/>
    <w:next w:val="TableGrid"/>
    <w:uiPriority w:val="59"/>
    <w:rsid w:val="008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D6C01-91AA-43FF-96FC-F4F1707A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T-mobile</Company>
  <LinksUpToDate>false</LinksUpToDate>
  <CharactersWithSpaces>47874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danail</dc:creator>
  <cp:lastModifiedBy>Natasa Angeleska</cp:lastModifiedBy>
  <cp:revision>3</cp:revision>
  <cp:lastPrinted>2016-10-09T23:17:00Z</cp:lastPrinted>
  <dcterms:created xsi:type="dcterms:W3CDTF">2016-10-20T06:51:00Z</dcterms:created>
  <dcterms:modified xsi:type="dcterms:W3CDTF">2016-10-20T06:53:00Z</dcterms:modified>
</cp:coreProperties>
</file>